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690" w:rsidRPr="00205463" w:rsidRDefault="00361690" w:rsidP="00205463">
      <w:pPr>
        <w:pStyle w:val="Heading1"/>
      </w:pPr>
      <w:bookmarkStart w:id="0" w:name="_Toc346082383"/>
      <w:bookmarkStart w:id="1" w:name="_GoBack"/>
      <w:bookmarkEnd w:id="1"/>
      <w:r w:rsidRPr="00205463">
        <w:t>Item 1   Cover Page</w:t>
      </w:r>
      <w:bookmarkEnd w:id="0"/>
    </w:p>
    <w:p w:rsidR="00361690" w:rsidRDefault="00361690" w:rsidP="00205463"/>
    <w:p w:rsidR="00361690" w:rsidRPr="00205463" w:rsidRDefault="00361690" w:rsidP="00205463"/>
    <w:p w:rsidR="00361690" w:rsidRDefault="00361690" w:rsidP="00687DF9">
      <w:pPr>
        <w:jc w:val="center"/>
      </w:pPr>
      <w:r>
        <w:t>Part</w:t>
      </w:r>
      <w:r w:rsidR="00B403EF">
        <w:t xml:space="preserve"> 2A Appendix 1</w:t>
      </w:r>
      <w:r>
        <w:t xml:space="preserve"> of Form ADV</w:t>
      </w:r>
    </w:p>
    <w:p w:rsidR="00361690" w:rsidRDefault="002F7F2A" w:rsidP="00687DF9">
      <w:pPr>
        <w:jc w:val="center"/>
      </w:pPr>
      <w:r>
        <w:t xml:space="preserve">Wrap Fee Brochure </w:t>
      </w:r>
    </w:p>
    <w:p w:rsidR="00361690" w:rsidRDefault="00361690" w:rsidP="00687DF9">
      <w:pPr>
        <w:jc w:val="center"/>
      </w:pPr>
      <w:proofErr w:type="gramStart"/>
      <w:r>
        <w:t>Capstone Investment Financial Group, Inc.</w:t>
      </w:r>
      <w:proofErr w:type="gramEnd"/>
    </w:p>
    <w:p w:rsidR="00361690" w:rsidRDefault="00361690" w:rsidP="00687DF9">
      <w:pPr>
        <w:jc w:val="center"/>
      </w:pPr>
      <w:smartTag w:uri="urn:schemas-microsoft-com:office:smarttags" w:element="address">
        <w:smartTag w:uri="urn:schemas-microsoft-com:office:smarttags" w:element="Street">
          <w:r>
            <w:t>615 N. Nevada Avenue</w:t>
          </w:r>
        </w:smartTag>
      </w:smartTag>
    </w:p>
    <w:p w:rsidR="00361690" w:rsidRDefault="00361690" w:rsidP="00687DF9">
      <w:pPr>
        <w:jc w:val="center"/>
      </w:pPr>
      <w:smartTag w:uri="urn:schemas-microsoft-com:office:smarttags" w:element="place">
        <w:smartTag w:uri="urn:schemas-microsoft-com:office:smarttags" w:element="City">
          <w:r>
            <w:t>Colorado Springs</w:t>
          </w:r>
        </w:smartTag>
        <w:r>
          <w:t xml:space="preserve">, </w:t>
        </w:r>
        <w:smartTag w:uri="urn:schemas-microsoft-com:office:smarttags" w:element="State">
          <w:r>
            <w:t>CO</w:t>
          </w:r>
        </w:smartTag>
        <w:r>
          <w:t xml:space="preserve"> </w:t>
        </w:r>
        <w:smartTag w:uri="urn:schemas-microsoft-com:office:smarttags" w:element="PostalCode">
          <w:r>
            <w:t>80903</w:t>
          </w:r>
        </w:smartTag>
      </w:smartTag>
    </w:p>
    <w:p w:rsidR="00361690" w:rsidRDefault="00361690" w:rsidP="00687DF9">
      <w:pPr>
        <w:jc w:val="center"/>
      </w:pPr>
      <w:r>
        <w:t>Phone: (719) 477- 98</w:t>
      </w:r>
      <w:r w:rsidR="005F4316">
        <w:t>8</w:t>
      </w:r>
      <w:r>
        <w:t>3</w:t>
      </w:r>
    </w:p>
    <w:p w:rsidR="00361690" w:rsidRDefault="00361690" w:rsidP="00687DF9">
      <w:pPr>
        <w:jc w:val="center"/>
      </w:pPr>
      <w:r>
        <w:t xml:space="preserve">Website: </w:t>
      </w:r>
      <w:r w:rsidRPr="006A22A1">
        <w:t>www.</w:t>
      </w:r>
      <w:r>
        <w:t>capstoneinvest.com</w:t>
      </w:r>
    </w:p>
    <w:p w:rsidR="00361690" w:rsidRDefault="00361690" w:rsidP="00687DF9">
      <w:pPr>
        <w:jc w:val="center"/>
      </w:pPr>
      <w:r>
        <w:t>Date</w:t>
      </w:r>
      <w:r w:rsidR="00F5316C">
        <w:t xml:space="preserve">: </w:t>
      </w:r>
      <w:r w:rsidR="00D649AE">
        <w:t>January 16</w:t>
      </w:r>
      <w:r w:rsidR="00281D9F">
        <w:t>, 2013</w:t>
      </w:r>
    </w:p>
    <w:p w:rsidR="00361690" w:rsidRDefault="00361690"/>
    <w:p w:rsidR="00361690" w:rsidRDefault="00361690"/>
    <w:p w:rsidR="00361690" w:rsidRDefault="00361690"/>
    <w:p w:rsidR="00361690" w:rsidRDefault="00361690"/>
    <w:p w:rsidR="00361690" w:rsidRDefault="00361690"/>
    <w:p w:rsidR="00361690" w:rsidRDefault="00361690"/>
    <w:p w:rsidR="00361690" w:rsidRDefault="00361690"/>
    <w:p w:rsidR="00361690" w:rsidRDefault="00361690">
      <w:r>
        <w:t>This</w:t>
      </w:r>
      <w:r w:rsidR="00A64B3F">
        <w:t xml:space="preserve"> wrap fee</w:t>
      </w:r>
      <w:r>
        <w:t xml:space="preserve"> brochure provides information about the qualifications and business practices of Capstone Investment Financial Group, Inc.  If you have any questions about the contents of this brochure, please contact us at (719) 477-98</w:t>
      </w:r>
      <w:r w:rsidR="005F4316">
        <w:t>8</w:t>
      </w:r>
      <w:r>
        <w:t xml:space="preserve">3 or via email at info@capstoneinvest.com.  The information in this brochure has not been approved or verified by the United States Securities and Exchange Commission or by any state securities authority. </w:t>
      </w:r>
    </w:p>
    <w:p w:rsidR="00361690" w:rsidRDefault="00361690">
      <w:r>
        <w:t xml:space="preserve">Additional information about Capstone Investment Financial Group, Inc. is available on the SEC’s website at </w:t>
      </w:r>
      <w:hyperlink r:id="rId9" w:history="1">
        <w:r w:rsidRPr="005C44EE">
          <w:rPr>
            <w:rStyle w:val="Hyperlink"/>
          </w:rPr>
          <w:t>www.adviserinfo.sec.gov</w:t>
        </w:r>
      </w:hyperlink>
      <w:r w:rsidR="00D44F4A">
        <w:t>. Our IARD number is 150345.</w:t>
      </w:r>
    </w:p>
    <w:p w:rsidR="00361690" w:rsidRDefault="00361690">
      <w:r>
        <w:t>Please note that registration as an investment advisory firm does not imply a certain level of skill or training.</w:t>
      </w:r>
    </w:p>
    <w:p w:rsidR="00361690" w:rsidRDefault="00361690" w:rsidP="00205463">
      <w:pPr>
        <w:pStyle w:val="Heading1"/>
      </w:pPr>
      <w:bookmarkStart w:id="2" w:name="_Toc346082384"/>
      <w:r>
        <w:lastRenderedPageBreak/>
        <w:t>Item 2</w:t>
      </w:r>
      <w:r>
        <w:tab/>
      </w:r>
      <w:r w:rsidRPr="00205463">
        <w:t>Material Changes</w:t>
      </w:r>
      <w:bookmarkEnd w:id="2"/>
    </w:p>
    <w:p w:rsidR="009B6C32" w:rsidRDefault="00281D9F" w:rsidP="009B6C32">
      <w:r>
        <w:t xml:space="preserve">We have removed Kevin Starkey, who was an owner, President, and Chief Compliance Officer from this version of the wrap brochure.  </w:t>
      </w:r>
    </w:p>
    <w:p w:rsidR="00361690" w:rsidRDefault="00361690" w:rsidP="00205463">
      <w:pPr>
        <w:pStyle w:val="Heading1"/>
      </w:pPr>
    </w:p>
    <w:p w:rsidR="00361690" w:rsidRDefault="00361690" w:rsidP="00205463">
      <w:pPr>
        <w:pStyle w:val="Heading1"/>
      </w:pPr>
    </w:p>
    <w:p w:rsidR="00361690" w:rsidRDefault="00361690" w:rsidP="00205463">
      <w:pPr>
        <w:pStyle w:val="Heading1"/>
      </w:pPr>
    </w:p>
    <w:p w:rsidR="00361690" w:rsidRDefault="00361690" w:rsidP="00205463">
      <w:pPr>
        <w:pStyle w:val="Heading1"/>
      </w:pPr>
    </w:p>
    <w:p w:rsidR="00361690" w:rsidRDefault="00361690" w:rsidP="00205463">
      <w:pPr>
        <w:pStyle w:val="Heading1"/>
      </w:pPr>
    </w:p>
    <w:p w:rsidR="00361690" w:rsidRDefault="00361690" w:rsidP="00205463">
      <w:pPr>
        <w:pStyle w:val="Heading1"/>
      </w:pPr>
    </w:p>
    <w:p w:rsidR="00361690" w:rsidRDefault="00361690" w:rsidP="00205463">
      <w:pPr>
        <w:pStyle w:val="Heading1"/>
      </w:pPr>
    </w:p>
    <w:p w:rsidR="00361690" w:rsidRDefault="00361690" w:rsidP="00205463">
      <w:pPr>
        <w:pStyle w:val="Heading1"/>
      </w:pPr>
    </w:p>
    <w:p w:rsidR="00361690" w:rsidRDefault="00361690" w:rsidP="00205463">
      <w:pPr>
        <w:pStyle w:val="Heading1"/>
      </w:pPr>
    </w:p>
    <w:p w:rsidR="00361690" w:rsidRDefault="00361690" w:rsidP="00205463">
      <w:pPr>
        <w:pStyle w:val="Heading1"/>
      </w:pPr>
    </w:p>
    <w:p w:rsidR="00361690" w:rsidRDefault="00361690" w:rsidP="00205463">
      <w:pPr>
        <w:pStyle w:val="Heading1"/>
      </w:pPr>
    </w:p>
    <w:p w:rsidR="00361690" w:rsidRDefault="00361690" w:rsidP="00205463">
      <w:pPr>
        <w:pStyle w:val="Heading1"/>
      </w:pPr>
    </w:p>
    <w:p w:rsidR="00361690" w:rsidRDefault="002522D7" w:rsidP="00205463">
      <w:pPr>
        <w:pStyle w:val="Heading1"/>
      </w:pPr>
      <w:r>
        <w:br w:type="page"/>
      </w:r>
      <w:bookmarkStart w:id="3" w:name="_Toc346082385"/>
      <w:r w:rsidR="00361690">
        <w:lastRenderedPageBreak/>
        <w:t xml:space="preserve">Item 3 </w:t>
      </w:r>
      <w:r w:rsidR="00361690">
        <w:tab/>
        <w:t>Table of Contents</w:t>
      </w:r>
      <w:bookmarkEnd w:id="3"/>
      <w:r w:rsidR="00361690">
        <w:t xml:space="preserve"> </w:t>
      </w:r>
    </w:p>
    <w:p w:rsidR="00361690" w:rsidRDefault="00361690">
      <w:pPr>
        <w:pStyle w:val="TOCHeading"/>
      </w:pPr>
      <w:r>
        <w:t xml:space="preserve"> Contents</w:t>
      </w:r>
    </w:p>
    <w:p w:rsidR="007B077B" w:rsidRDefault="00254CA4">
      <w:pPr>
        <w:pStyle w:val="TOC1"/>
        <w:tabs>
          <w:tab w:val="right" w:leader="dot" w:pos="9350"/>
        </w:tabs>
        <w:rPr>
          <w:rFonts w:asciiTheme="minorHAnsi" w:eastAsiaTheme="minorEastAsia" w:hAnsiTheme="minorHAnsi" w:cstheme="minorBidi"/>
          <w:noProof/>
        </w:rPr>
      </w:pPr>
      <w:r>
        <w:fldChar w:fldCharType="begin"/>
      </w:r>
      <w:r w:rsidR="00361690">
        <w:instrText xml:space="preserve"> TOC \o "1-3" \h \z \u </w:instrText>
      </w:r>
      <w:r>
        <w:fldChar w:fldCharType="separate"/>
      </w:r>
      <w:hyperlink w:anchor="_Toc346082383" w:history="1">
        <w:r w:rsidR="007B077B" w:rsidRPr="007B1EC2">
          <w:rPr>
            <w:rStyle w:val="Hyperlink"/>
            <w:noProof/>
          </w:rPr>
          <w:t>Item 1   Cover Page</w:t>
        </w:r>
        <w:r w:rsidR="007B077B">
          <w:rPr>
            <w:noProof/>
            <w:webHidden/>
          </w:rPr>
          <w:tab/>
        </w:r>
        <w:r w:rsidR="007B077B">
          <w:rPr>
            <w:noProof/>
            <w:webHidden/>
          </w:rPr>
          <w:fldChar w:fldCharType="begin"/>
        </w:r>
        <w:r w:rsidR="007B077B">
          <w:rPr>
            <w:noProof/>
            <w:webHidden/>
          </w:rPr>
          <w:instrText xml:space="preserve"> PAGEREF _Toc346082383 \h </w:instrText>
        </w:r>
        <w:r w:rsidR="007B077B">
          <w:rPr>
            <w:noProof/>
            <w:webHidden/>
          </w:rPr>
        </w:r>
        <w:r w:rsidR="007B077B">
          <w:rPr>
            <w:noProof/>
            <w:webHidden/>
          </w:rPr>
          <w:fldChar w:fldCharType="separate"/>
        </w:r>
        <w:r w:rsidR="007B077B">
          <w:rPr>
            <w:noProof/>
            <w:webHidden/>
          </w:rPr>
          <w:t>1</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84" w:history="1">
        <w:r w:rsidR="007B077B" w:rsidRPr="007B1EC2">
          <w:rPr>
            <w:rStyle w:val="Hyperlink"/>
            <w:noProof/>
          </w:rPr>
          <w:t>Item 2</w:t>
        </w:r>
        <w:r w:rsidR="007B077B">
          <w:rPr>
            <w:rFonts w:asciiTheme="minorHAnsi" w:eastAsiaTheme="minorEastAsia" w:hAnsiTheme="minorHAnsi" w:cstheme="minorBidi"/>
            <w:noProof/>
          </w:rPr>
          <w:tab/>
        </w:r>
        <w:r w:rsidR="007B077B" w:rsidRPr="007B1EC2">
          <w:rPr>
            <w:rStyle w:val="Hyperlink"/>
            <w:noProof/>
          </w:rPr>
          <w:t>Material Changes</w:t>
        </w:r>
        <w:r w:rsidR="007B077B">
          <w:rPr>
            <w:noProof/>
            <w:webHidden/>
          </w:rPr>
          <w:tab/>
        </w:r>
        <w:r w:rsidR="007B077B">
          <w:rPr>
            <w:noProof/>
            <w:webHidden/>
          </w:rPr>
          <w:fldChar w:fldCharType="begin"/>
        </w:r>
        <w:r w:rsidR="007B077B">
          <w:rPr>
            <w:noProof/>
            <w:webHidden/>
          </w:rPr>
          <w:instrText xml:space="preserve"> PAGEREF _Toc346082384 \h </w:instrText>
        </w:r>
        <w:r w:rsidR="007B077B">
          <w:rPr>
            <w:noProof/>
            <w:webHidden/>
          </w:rPr>
        </w:r>
        <w:r w:rsidR="007B077B">
          <w:rPr>
            <w:noProof/>
            <w:webHidden/>
          </w:rPr>
          <w:fldChar w:fldCharType="separate"/>
        </w:r>
        <w:r w:rsidR="007B077B">
          <w:rPr>
            <w:noProof/>
            <w:webHidden/>
          </w:rPr>
          <w:t>2</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85" w:history="1">
        <w:r w:rsidR="007B077B" w:rsidRPr="007B1EC2">
          <w:rPr>
            <w:rStyle w:val="Hyperlink"/>
            <w:noProof/>
          </w:rPr>
          <w:t xml:space="preserve">Item 3 </w:t>
        </w:r>
        <w:r w:rsidR="007B077B">
          <w:rPr>
            <w:rFonts w:asciiTheme="minorHAnsi" w:eastAsiaTheme="minorEastAsia" w:hAnsiTheme="minorHAnsi" w:cstheme="minorBidi"/>
            <w:noProof/>
          </w:rPr>
          <w:tab/>
        </w:r>
        <w:r w:rsidR="007B077B" w:rsidRPr="007B1EC2">
          <w:rPr>
            <w:rStyle w:val="Hyperlink"/>
            <w:noProof/>
          </w:rPr>
          <w:t>Table of Contents</w:t>
        </w:r>
        <w:r w:rsidR="007B077B">
          <w:rPr>
            <w:noProof/>
            <w:webHidden/>
          </w:rPr>
          <w:tab/>
        </w:r>
        <w:r w:rsidR="007B077B">
          <w:rPr>
            <w:noProof/>
            <w:webHidden/>
          </w:rPr>
          <w:fldChar w:fldCharType="begin"/>
        </w:r>
        <w:r w:rsidR="007B077B">
          <w:rPr>
            <w:noProof/>
            <w:webHidden/>
          </w:rPr>
          <w:instrText xml:space="preserve"> PAGEREF _Toc346082385 \h </w:instrText>
        </w:r>
        <w:r w:rsidR="007B077B">
          <w:rPr>
            <w:noProof/>
            <w:webHidden/>
          </w:rPr>
        </w:r>
        <w:r w:rsidR="007B077B">
          <w:rPr>
            <w:noProof/>
            <w:webHidden/>
          </w:rPr>
          <w:fldChar w:fldCharType="separate"/>
        </w:r>
        <w:r w:rsidR="007B077B">
          <w:rPr>
            <w:noProof/>
            <w:webHidden/>
          </w:rPr>
          <w:t>3</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86" w:history="1">
        <w:r w:rsidR="007B077B" w:rsidRPr="007B1EC2">
          <w:rPr>
            <w:rStyle w:val="Hyperlink"/>
            <w:noProof/>
          </w:rPr>
          <w:t>Item 4</w:t>
        </w:r>
        <w:r w:rsidR="007B077B">
          <w:rPr>
            <w:rFonts w:asciiTheme="minorHAnsi" w:eastAsiaTheme="minorEastAsia" w:hAnsiTheme="minorHAnsi" w:cstheme="minorBidi"/>
            <w:noProof/>
          </w:rPr>
          <w:tab/>
        </w:r>
        <w:r w:rsidR="007B077B" w:rsidRPr="007B1EC2">
          <w:rPr>
            <w:rStyle w:val="Hyperlink"/>
            <w:noProof/>
          </w:rPr>
          <w:t>Services, Fees and Compensation</w:t>
        </w:r>
        <w:r w:rsidR="007B077B">
          <w:rPr>
            <w:noProof/>
            <w:webHidden/>
          </w:rPr>
          <w:tab/>
        </w:r>
        <w:r w:rsidR="007B077B">
          <w:rPr>
            <w:noProof/>
            <w:webHidden/>
          </w:rPr>
          <w:fldChar w:fldCharType="begin"/>
        </w:r>
        <w:r w:rsidR="007B077B">
          <w:rPr>
            <w:noProof/>
            <w:webHidden/>
          </w:rPr>
          <w:instrText xml:space="preserve"> PAGEREF _Toc346082386 \h </w:instrText>
        </w:r>
        <w:r w:rsidR="007B077B">
          <w:rPr>
            <w:noProof/>
            <w:webHidden/>
          </w:rPr>
        </w:r>
        <w:r w:rsidR="007B077B">
          <w:rPr>
            <w:noProof/>
            <w:webHidden/>
          </w:rPr>
          <w:fldChar w:fldCharType="separate"/>
        </w:r>
        <w:r w:rsidR="007B077B">
          <w:rPr>
            <w:noProof/>
            <w:webHidden/>
          </w:rPr>
          <w:t>4</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87" w:history="1">
        <w:r w:rsidR="007B077B" w:rsidRPr="007B1EC2">
          <w:rPr>
            <w:rStyle w:val="Hyperlink"/>
            <w:noProof/>
          </w:rPr>
          <w:t>Item 5</w:t>
        </w:r>
        <w:r w:rsidR="007B077B">
          <w:rPr>
            <w:rFonts w:asciiTheme="minorHAnsi" w:eastAsiaTheme="minorEastAsia" w:hAnsiTheme="minorHAnsi" w:cstheme="minorBidi"/>
            <w:noProof/>
          </w:rPr>
          <w:tab/>
        </w:r>
        <w:r w:rsidR="007B077B" w:rsidRPr="007B1EC2">
          <w:rPr>
            <w:rStyle w:val="Hyperlink"/>
            <w:noProof/>
          </w:rPr>
          <w:t>Account Requirements and Types of Clients</w:t>
        </w:r>
        <w:r w:rsidR="007B077B">
          <w:rPr>
            <w:noProof/>
            <w:webHidden/>
          </w:rPr>
          <w:tab/>
        </w:r>
        <w:r w:rsidR="007B077B">
          <w:rPr>
            <w:noProof/>
            <w:webHidden/>
          </w:rPr>
          <w:fldChar w:fldCharType="begin"/>
        </w:r>
        <w:r w:rsidR="007B077B">
          <w:rPr>
            <w:noProof/>
            <w:webHidden/>
          </w:rPr>
          <w:instrText xml:space="preserve"> PAGEREF _Toc346082387 \h </w:instrText>
        </w:r>
        <w:r w:rsidR="007B077B">
          <w:rPr>
            <w:noProof/>
            <w:webHidden/>
          </w:rPr>
        </w:r>
        <w:r w:rsidR="007B077B">
          <w:rPr>
            <w:noProof/>
            <w:webHidden/>
          </w:rPr>
          <w:fldChar w:fldCharType="separate"/>
        </w:r>
        <w:r w:rsidR="007B077B">
          <w:rPr>
            <w:noProof/>
            <w:webHidden/>
          </w:rPr>
          <w:t>5</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88" w:history="1">
        <w:r w:rsidR="007B077B" w:rsidRPr="007B1EC2">
          <w:rPr>
            <w:rStyle w:val="Hyperlink"/>
            <w:noProof/>
          </w:rPr>
          <w:t>Item 6</w:t>
        </w:r>
        <w:r w:rsidR="007B077B">
          <w:rPr>
            <w:rFonts w:asciiTheme="minorHAnsi" w:eastAsiaTheme="minorEastAsia" w:hAnsiTheme="minorHAnsi" w:cstheme="minorBidi"/>
            <w:noProof/>
          </w:rPr>
          <w:tab/>
        </w:r>
        <w:r w:rsidR="007B077B" w:rsidRPr="007B1EC2">
          <w:rPr>
            <w:rStyle w:val="Hyperlink"/>
            <w:noProof/>
          </w:rPr>
          <w:t>Portfolio Manager Selection and Evaluation.</w:t>
        </w:r>
        <w:r w:rsidR="007B077B">
          <w:rPr>
            <w:noProof/>
            <w:webHidden/>
          </w:rPr>
          <w:tab/>
        </w:r>
        <w:r w:rsidR="007B077B">
          <w:rPr>
            <w:noProof/>
            <w:webHidden/>
          </w:rPr>
          <w:fldChar w:fldCharType="begin"/>
        </w:r>
        <w:r w:rsidR="007B077B">
          <w:rPr>
            <w:noProof/>
            <w:webHidden/>
          </w:rPr>
          <w:instrText xml:space="preserve"> PAGEREF _Toc346082388 \h </w:instrText>
        </w:r>
        <w:r w:rsidR="007B077B">
          <w:rPr>
            <w:noProof/>
            <w:webHidden/>
          </w:rPr>
        </w:r>
        <w:r w:rsidR="007B077B">
          <w:rPr>
            <w:noProof/>
            <w:webHidden/>
          </w:rPr>
          <w:fldChar w:fldCharType="separate"/>
        </w:r>
        <w:r w:rsidR="007B077B">
          <w:rPr>
            <w:noProof/>
            <w:webHidden/>
          </w:rPr>
          <w:t>5</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89" w:history="1">
        <w:r w:rsidR="007B077B" w:rsidRPr="007B1EC2">
          <w:rPr>
            <w:rStyle w:val="Hyperlink"/>
            <w:noProof/>
          </w:rPr>
          <w:t>Item 7</w:t>
        </w:r>
        <w:r w:rsidR="007B077B">
          <w:rPr>
            <w:rFonts w:asciiTheme="minorHAnsi" w:eastAsiaTheme="minorEastAsia" w:hAnsiTheme="minorHAnsi" w:cstheme="minorBidi"/>
            <w:noProof/>
          </w:rPr>
          <w:tab/>
        </w:r>
        <w:r w:rsidR="007B077B" w:rsidRPr="007B1EC2">
          <w:rPr>
            <w:rStyle w:val="Hyperlink"/>
            <w:noProof/>
          </w:rPr>
          <w:t>Client Information Provided to Portfolio Managers</w:t>
        </w:r>
        <w:r w:rsidR="007B077B">
          <w:rPr>
            <w:noProof/>
            <w:webHidden/>
          </w:rPr>
          <w:tab/>
        </w:r>
        <w:r w:rsidR="007B077B">
          <w:rPr>
            <w:noProof/>
            <w:webHidden/>
          </w:rPr>
          <w:fldChar w:fldCharType="begin"/>
        </w:r>
        <w:r w:rsidR="007B077B">
          <w:rPr>
            <w:noProof/>
            <w:webHidden/>
          </w:rPr>
          <w:instrText xml:space="preserve"> PAGEREF _Toc346082389 \h </w:instrText>
        </w:r>
        <w:r w:rsidR="007B077B">
          <w:rPr>
            <w:noProof/>
            <w:webHidden/>
          </w:rPr>
        </w:r>
        <w:r w:rsidR="007B077B">
          <w:rPr>
            <w:noProof/>
            <w:webHidden/>
          </w:rPr>
          <w:fldChar w:fldCharType="separate"/>
        </w:r>
        <w:r w:rsidR="007B077B">
          <w:rPr>
            <w:noProof/>
            <w:webHidden/>
          </w:rPr>
          <w:t>7</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90" w:history="1">
        <w:r w:rsidR="007B077B" w:rsidRPr="007B1EC2">
          <w:rPr>
            <w:rStyle w:val="Hyperlink"/>
            <w:noProof/>
          </w:rPr>
          <w:t>Item 8</w:t>
        </w:r>
        <w:r w:rsidR="007B077B">
          <w:rPr>
            <w:rFonts w:asciiTheme="minorHAnsi" w:eastAsiaTheme="minorEastAsia" w:hAnsiTheme="minorHAnsi" w:cstheme="minorBidi"/>
            <w:noProof/>
          </w:rPr>
          <w:tab/>
        </w:r>
        <w:r w:rsidR="007B077B" w:rsidRPr="007B1EC2">
          <w:rPr>
            <w:rStyle w:val="Hyperlink"/>
            <w:noProof/>
          </w:rPr>
          <w:t>Client Contact with Portfolio Managers</w:t>
        </w:r>
        <w:r w:rsidR="007B077B">
          <w:rPr>
            <w:noProof/>
            <w:webHidden/>
          </w:rPr>
          <w:tab/>
        </w:r>
        <w:r w:rsidR="007B077B">
          <w:rPr>
            <w:noProof/>
            <w:webHidden/>
          </w:rPr>
          <w:fldChar w:fldCharType="begin"/>
        </w:r>
        <w:r w:rsidR="007B077B">
          <w:rPr>
            <w:noProof/>
            <w:webHidden/>
          </w:rPr>
          <w:instrText xml:space="preserve"> PAGEREF _Toc346082390 \h </w:instrText>
        </w:r>
        <w:r w:rsidR="007B077B">
          <w:rPr>
            <w:noProof/>
            <w:webHidden/>
          </w:rPr>
        </w:r>
        <w:r w:rsidR="007B077B">
          <w:rPr>
            <w:noProof/>
            <w:webHidden/>
          </w:rPr>
          <w:fldChar w:fldCharType="separate"/>
        </w:r>
        <w:r w:rsidR="007B077B">
          <w:rPr>
            <w:noProof/>
            <w:webHidden/>
          </w:rPr>
          <w:t>7</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91" w:history="1">
        <w:r w:rsidR="007B077B" w:rsidRPr="007B1EC2">
          <w:rPr>
            <w:rStyle w:val="Hyperlink"/>
            <w:noProof/>
          </w:rPr>
          <w:t>Item 9</w:t>
        </w:r>
        <w:r w:rsidR="007B077B">
          <w:rPr>
            <w:rFonts w:asciiTheme="minorHAnsi" w:eastAsiaTheme="minorEastAsia" w:hAnsiTheme="minorHAnsi" w:cstheme="minorBidi"/>
            <w:noProof/>
          </w:rPr>
          <w:tab/>
        </w:r>
        <w:r w:rsidR="007B077B" w:rsidRPr="007B1EC2">
          <w:rPr>
            <w:rStyle w:val="Hyperlink"/>
            <w:noProof/>
          </w:rPr>
          <w:t>Additional Information</w:t>
        </w:r>
        <w:r w:rsidR="007B077B">
          <w:rPr>
            <w:noProof/>
            <w:webHidden/>
          </w:rPr>
          <w:tab/>
        </w:r>
        <w:r w:rsidR="007B077B">
          <w:rPr>
            <w:noProof/>
            <w:webHidden/>
          </w:rPr>
          <w:fldChar w:fldCharType="begin"/>
        </w:r>
        <w:r w:rsidR="007B077B">
          <w:rPr>
            <w:noProof/>
            <w:webHidden/>
          </w:rPr>
          <w:instrText xml:space="preserve"> PAGEREF _Toc346082391 \h </w:instrText>
        </w:r>
        <w:r w:rsidR="007B077B">
          <w:rPr>
            <w:noProof/>
            <w:webHidden/>
          </w:rPr>
        </w:r>
        <w:r w:rsidR="007B077B">
          <w:rPr>
            <w:noProof/>
            <w:webHidden/>
          </w:rPr>
          <w:fldChar w:fldCharType="separate"/>
        </w:r>
        <w:r w:rsidR="007B077B">
          <w:rPr>
            <w:noProof/>
            <w:webHidden/>
          </w:rPr>
          <w:t>7</w:t>
        </w:r>
        <w:r w:rsidR="007B077B">
          <w:rPr>
            <w:noProof/>
            <w:webHidden/>
          </w:rPr>
          <w:fldChar w:fldCharType="end"/>
        </w:r>
      </w:hyperlink>
    </w:p>
    <w:p w:rsidR="007B077B" w:rsidRDefault="00E127DE">
      <w:pPr>
        <w:pStyle w:val="TOC1"/>
        <w:tabs>
          <w:tab w:val="right" w:leader="dot" w:pos="9350"/>
        </w:tabs>
        <w:rPr>
          <w:rFonts w:asciiTheme="minorHAnsi" w:eastAsiaTheme="minorEastAsia" w:hAnsiTheme="minorHAnsi" w:cstheme="minorBidi"/>
          <w:noProof/>
        </w:rPr>
      </w:pPr>
      <w:hyperlink w:anchor="_Toc346082392" w:history="1">
        <w:r w:rsidR="007B077B" w:rsidRPr="007B1EC2">
          <w:rPr>
            <w:rStyle w:val="Hyperlink"/>
            <w:noProof/>
          </w:rPr>
          <w:t>Brochure Supplement</w:t>
        </w:r>
        <w:r w:rsidR="007B077B">
          <w:rPr>
            <w:noProof/>
            <w:webHidden/>
          </w:rPr>
          <w:tab/>
        </w:r>
        <w:r w:rsidR="007B077B">
          <w:rPr>
            <w:noProof/>
            <w:webHidden/>
          </w:rPr>
          <w:fldChar w:fldCharType="begin"/>
        </w:r>
        <w:r w:rsidR="007B077B">
          <w:rPr>
            <w:noProof/>
            <w:webHidden/>
          </w:rPr>
          <w:instrText xml:space="preserve"> PAGEREF _Toc346082392 \h </w:instrText>
        </w:r>
        <w:r w:rsidR="007B077B">
          <w:rPr>
            <w:noProof/>
            <w:webHidden/>
          </w:rPr>
        </w:r>
        <w:r w:rsidR="007B077B">
          <w:rPr>
            <w:noProof/>
            <w:webHidden/>
          </w:rPr>
          <w:fldChar w:fldCharType="separate"/>
        </w:r>
        <w:r w:rsidR="007B077B">
          <w:rPr>
            <w:noProof/>
            <w:webHidden/>
          </w:rPr>
          <w:t>10</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93" w:history="1">
        <w:r w:rsidR="007B077B" w:rsidRPr="007B1EC2">
          <w:rPr>
            <w:rStyle w:val="Hyperlink"/>
            <w:noProof/>
          </w:rPr>
          <w:t>Item 1</w:t>
        </w:r>
        <w:r w:rsidR="007B077B">
          <w:rPr>
            <w:rFonts w:asciiTheme="minorHAnsi" w:eastAsiaTheme="minorEastAsia" w:hAnsiTheme="minorHAnsi" w:cstheme="minorBidi"/>
            <w:noProof/>
          </w:rPr>
          <w:tab/>
        </w:r>
        <w:r w:rsidR="007B077B" w:rsidRPr="007B1EC2">
          <w:rPr>
            <w:rStyle w:val="Hyperlink"/>
            <w:noProof/>
          </w:rPr>
          <w:t xml:space="preserve"> Cover Page</w:t>
        </w:r>
        <w:r w:rsidR="007B077B">
          <w:rPr>
            <w:noProof/>
            <w:webHidden/>
          </w:rPr>
          <w:tab/>
        </w:r>
        <w:r w:rsidR="007B077B">
          <w:rPr>
            <w:noProof/>
            <w:webHidden/>
          </w:rPr>
          <w:fldChar w:fldCharType="begin"/>
        </w:r>
        <w:r w:rsidR="007B077B">
          <w:rPr>
            <w:noProof/>
            <w:webHidden/>
          </w:rPr>
          <w:instrText xml:space="preserve"> PAGEREF _Toc346082393 \h </w:instrText>
        </w:r>
        <w:r w:rsidR="007B077B">
          <w:rPr>
            <w:noProof/>
            <w:webHidden/>
          </w:rPr>
        </w:r>
        <w:r w:rsidR="007B077B">
          <w:rPr>
            <w:noProof/>
            <w:webHidden/>
          </w:rPr>
          <w:fldChar w:fldCharType="separate"/>
        </w:r>
        <w:r w:rsidR="007B077B">
          <w:rPr>
            <w:noProof/>
            <w:webHidden/>
          </w:rPr>
          <w:t>10</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94" w:history="1">
        <w:r w:rsidR="007B077B" w:rsidRPr="007B1EC2">
          <w:rPr>
            <w:rStyle w:val="Hyperlink"/>
            <w:noProof/>
          </w:rPr>
          <w:t>Item 2</w:t>
        </w:r>
        <w:r w:rsidR="007B077B">
          <w:rPr>
            <w:rFonts w:asciiTheme="minorHAnsi" w:eastAsiaTheme="minorEastAsia" w:hAnsiTheme="minorHAnsi" w:cstheme="minorBidi"/>
            <w:noProof/>
          </w:rPr>
          <w:tab/>
        </w:r>
        <w:r w:rsidR="007B077B" w:rsidRPr="007B1EC2">
          <w:rPr>
            <w:rStyle w:val="Hyperlink"/>
            <w:noProof/>
          </w:rPr>
          <w:t>Educational Background and Business Experience</w:t>
        </w:r>
        <w:r w:rsidR="007B077B">
          <w:rPr>
            <w:noProof/>
            <w:webHidden/>
          </w:rPr>
          <w:tab/>
        </w:r>
        <w:r w:rsidR="007B077B">
          <w:rPr>
            <w:noProof/>
            <w:webHidden/>
          </w:rPr>
          <w:fldChar w:fldCharType="begin"/>
        </w:r>
        <w:r w:rsidR="007B077B">
          <w:rPr>
            <w:noProof/>
            <w:webHidden/>
          </w:rPr>
          <w:instrText xml:space="preserve"> PAGEREF _Toc346082394 \h </w:instrText>
        </w:r>
        <w:r w:rsidR="007B077B">
          <w:rPr>
            <w:noProof/>
            <w:webHidden/>
          </w:rPr>
        </w:r>
        <w:r w:rsidR="007B077B">
          <w:rPr>
            <w:noProof/>
            <w:webHidden/>
          </w:rPr>
          <w:fldChar w:fldCharType="separate"/>
        </w:r>
        <w:r w:rsidR="007B077B">
          <w:rPr>
            <w:noProof/>
            <w:webHidden/>
          </w:rPr>
          <w:t>10</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95" w:history="1">
        <w:r w:rsidR="007B077B" w:rsidRPr="007B1EC2">
          <w:rPr>
            <w:rStyle w:val="Hyperlink"/>
            <w:noProof/>
          </w:rPr>
          <w:t>Item 3</w:t>
        </w:r>
        <w:r w:rsidR="007B077B">
          <w:rPr>
            <w:rFonts w:asciiTheme="minorHAnsi" w:eastAsiaTheme="minorEastAsia" w:hAnsiTheme="minorHAnsi" w:cstheme="minorBidi"/>
            <w:noProof/>
          </w:rPr>
          <w:tab/>
        </w:r>
        <w:r w:rsidR="007B077B" w:rsidRPr="007B1EC2">
          <w:rPr>
            <w:rStyle w:val="Hyperlink"/>
            <w:noProof/>
          </w:rPr>
          <w:t>Disciplinary Information</w:t>
        </w:r>
        <w:r w:rsidR="007B077B">
          <w:rPr>
            <w:noProof/>
            <w:webHidden/>
          </w:rPr>
          <w:tab/>
        </w:r>
        <w:r w:rsidR="007B077B">
          <w:rPr>
            <w:noProof/>
            <w:webHidden/>
          </w:rPr>
          <w:fldChar w:fldCharType="begin"/>
        </w:r>
        <w:r w:rsidR="007B077B">
          <w:rPr>
            <w:noProof/>
            <w:webHidden/>
          </w:rPr>
          <w:instrText xml:space="preserve"> PAGEREF _Toc346082395 \h </w:instrText>
        </w:r>
        <w:r w:rsidR="007B077B">
          <w:rPr>
            <w:noProof/>
            <w:webHidden/>
          </w:rPr>
        </w:r>
        <w:r w:rsidR="007B077B">
          <w:rPr>
            <w:noProof/>
            <w:webHidden/>
          </w:rPr>
          <w:fldChar w:fldCharType="separate"/>
        </w:r>
        <w:r w:rsidR="007B077B">
          <w:rPr>
            <w:noProof/>
            <w:webHidden/>
          </w:rPr>
          <w:t>11</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96" w:history="1">
        <w:r w:rsidR="007B077B" w:rsidRPr="007B1EC2">
          <w:rPr>
            <w:rStyle w:val="Hyperlink"/>
            <w:noProof/>
          </w:rPr>
          <w:t>Item 4</w:t>
        </w:r>
        <w:r w:rsidR="007B077B">
          <w:rPr>
            <w:rFonts w:asciiTheme="minorHAnsi" w:eastAsiaTheme="minorEastAsia" w:hAnsiTheme="minorHAnsi" w:cstheme="minorBidi"/>
            <w:noProof/>
          </w:rPr>
          <w:tab/>
        </w:r>
        <w:r w:rsidR="007B077B" w:rsidRPr="007B1EC2">
          <w:rPr>
            <w:rStyle w:val="Hyperlink"/>
            <w:noProof/>
          </w:rPr>
          <w:t>Other Business Activities</w:t>
        </w:r>
        <w:r w:rsidR="007B077B">
          <w:rPr>
            <w:noProof/>
            <w:webHidden/>
          </w:rPr>
          <w:tab/>
        </w:r>
        <w:r w:rsidR="007B077B">
          <w:rPr>
            <w:noProof/>
            <w:webHidden/>
          </w:rPr>
          <w:fldChar w:fldCharType="begin"/>
        </w:r>
        <w:r w:rsidR="007B077B">
          <w:rPr>
            <w:noProof/>
            <w:webHidden/>
          </w:rPr>
          <w:instrText xml:space="preserve"> PAGEREF _Toc346082396 \h </w:instrText>
        </w:r>
        <w:r w:rsidR="007B077B">
          <w:rPr>
            <w:noProof/>
            <w:webHidden/>
          </w:rPr>
        </w:r>
        <w:r w:rsidR="007B077B">
          <w:rPr>
            <w:noProof/>
            <w:webHidden/>
          </w:rPr>
          <w:fldChar w:fldCharType="separate"/>
        </w:r>
        <w:r w:rsidR="007B077B">
          <w:rPr>
            <w:noProof/>
            <w:webHidden/>
          </w:rPr>
          <w:t>11</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97" w:history="1">
        <w:r w:rsidR="007B077B" w:rsidRPr="007B1EC2">
          <w:rPr>
            <w:rStyle w:val="Hyperlink"/>
            <w:noProof/>
          </w:rPr>
          <w:t>Item 5</w:t>
        </w:r>
        <w:r w:rsidR="007B077B">
          <w:rPr>
            <w:rFonts w:asciiTheme="minorHAnsi" w:eastAsiaTheme="minorEastAsia" w:hAnsiTheme="minorHAnsi" w:cstheme="minorBidi"/>
            <w:noProof/>
          </w:rPr>
          <w:tab/>
        </w:r>
        <w:r w:rsidR="007B077B" w:rsidRPr="007B1EC2">
          <w:rPr>
            <w:rStyle w:val="Hyperlink"/>
            <w:noProof/>
          </w:rPr>
          <w:t>Additional Compensation</w:t>
        </w:r>
        <w:r w:rsidR="007B077B">
          <w:rPr>
            <w:noProof/>
            <w:webHidden/>
          </w:rPr>
          <w:tab/>
        </w:r>
        <w:r w:rsidR="007B077B">
          <w:rPr>
            <w:noProof/>
            <w:webHidden/>
          </w:rPr>
          <w:fldChar w:fldCharType="begin"/>
        </w:r>
        <w:r w:rsidR="007B077B">
          <w:rPr>
            <w:noProof/>
            <w:webHidden/>
          </w:rPr>
          <w:instrText xml:space="preserve"> PAGEREF _Toc346082397 \h </w:instrText>
        </w:r>
        <w:r w:rsidR="007B077B">
          <w:rPr>
            <w:noProof/>
            <w:webHidden/>
          </w:rPr>
        </w:r>
        <w:r w:rsidR="007B077B">
          <w:rPr>
            <w:noProof/>
            <w:webHidden/>
          </w:rPr>
          <w:fldChar w:fldCharType="separate"/>
        </w:r>
        <w:r w:rsidR="007B077B">
          <w:rPr>
            <w:noProof/>
            <w:webHidden/>
          </w:rPr>
          <w:t>11</w:t>
        </w:r>
        <w:r w:rsidR="007B077B">
          <w:rPr>
            <w:noProof/>
            <w:webHidden/>
          </w:rPr>
          <w:fldChar w:fldCharType="end"/>
        </w:r>
      </w:hyperlink>
    </w:p>
    <w:p w:rsidR="007B077B" w:rsidRDefault="00E127DE">
      <w:pPr>
        <w:pStyle w:val="TOC1"/>
        <w:tabs>
          <w:tab w:val="left" w:pos="880"/>
          <w:tab w:val="right" w:leader="dot" w:pos="9350"/>
        </w:tabs>
        <w:rPr>
          <w:rFonts w:asciiTheme="minorHAnsi" w:eastAsiaTheme="minorEastAsia" w:hAnsiTheme="minorHAnsi" w:cstheme="minorBidi"/>
          <w:noProof/>
        </w:rPr>
      </w:pPr>
      <w:hyperlink w:anchor="_Toc346082398" w:history="1">
        <w:r w:rsidR="007B077B" w:rsidRPr="007B1EC2">
          <w:rPr>
            <w:rStyle w:val="Hyperlink"/>
            <w:noProof/>
          </w:rPr>
          <w:t>Item 6</w:t>
        </w:r>
        <w:r w:rsidR="007B077B">
          <w:rPr>
            <w:rFonts w:asciiTheme="minorHAnsi" w:eastAsiaTheme="minorEastAsia" w:hAnsiTheme="minorHAnsi" w:cstheme="minorBidi"/>
            <w:noProof/>
          </w:rPr>
          <w:tab/>
        </w:r>
        <w:r w:rsidR="007B077B" w:rsidRPr="007B1EC2">
          <w:rPr>
            <w:rStyle w:val="Hyperlink"/>
            <w:noProof/>
          </w:rPr>
          <w:t>Supervision</w:t>
        </w:r>
        <w:r w:rsidR="007B077B">
          <w:rPr>
            <w:noProof/>
            <w:webHidden/>
          </w:rPr>
          <w:tab/>
        </w:r>
        <w:r w:rsidR="007B077B">
          <w:rPr>
            <w:noProof/>
            <w:webHidden/>
          </w:rPr>
          <w:fldChar w:fldCharType="begin"/>
        </w:r>
        <w:r w:rsidR="007B077B">
          <w:rPr>
            <w:noProof/>
            <w:webHidden/>
          </w:rPr>
          <w:instrText xml:space="preserve"> PAGEREF _Toc346082398 \h </w:instrText>
        </w:r>
        <w:r w:rsidR="007B077B">
          <w:rPr>
            <w:noProof/>
            <w:webHidden/>
          </w:rPr>
        </w:r>
        <w:r w:rsidR="007B077B">
          <w:rPr>
            <w:noProof/>
            <w:webHidden/>
          </w:rPr>
          <w:fldChar w:fldCharType="separate"/>
        </w:r>
        <w:r w:rsidR="007B077B">
          <w:rPr>
            <w:noProof/>
            <w:webHidden/>
          </w:rPr>
          <w:t>11</w:t>
        </w:r>
        <w:r w:rsidR="007B077B">
          <w:rPr>
            <w:noProof/>
            <w:webHidden/>
          </w:rPr>
          <w:fldChar w:fldCharType="end"/>
        </w:r>
      </w:hyperlink>
    </w:p>
    <w:p w:rsidR="00361690" w:rsidRDefault="00254CA4">
      <w:r>
        <w:fldChar w:fldCharType="end"/>
      </w:r>
    </w:p>
    <w:p w:rsidR="00361690" w:rsidRDefault="00361690">
      <w:r>
        <w:br w:type="page"/>
      </w:r>
    </w:p>
    <w:p w:rsidR="00361690" w:rsidRDefault="00361690" w:rsidP="00317FA9">
      <w:pPr>
        <w:pStyle w:val="Heading1"/>
      </w:pPr>
      <w:bookmarkStart w:id="4" w:name="_Toc346082386"/>
      <w:r>
        <w:lastRenderedPageBreak/>
        <w:t>Item 4</w:t>
      </w:r>
      <w:r>
        <w:tab/>
      </w:r>
      <w:r w:rsidR="00A64B3F">
        <w:t>Services, Fees and Compensation</w:t>
      </w:r>
      <w:bookmarkEnd w:id="4"/>
    </w:p>
    <w:p w:rsidR="00361690" w:rsidRPr="0017647A" w:rsidRDefault="00361690" w:rsidP="0017647A">
      <w:pPr>
        <w:pStyle w:val="Heading4"/>
        <w:rPr>
          <w:i w:val="0"/>
        </w:rPr>
      </w:pPr>
      <w:r w:rsidRPr="0017647A">
        <w:rPr>
          <w:i w:val="0"/>
        </w:rPr>
        <w:t>About the Firm</w:t>
      </w:r>
    </w:p>
    <w:p w:rsidR="00361690" w:rsidRPr="00BC3DAC" w:rsidRDefault="00361690" w:rsidP="00687DF9">
      <w:proofErr w:type="gramStart"/>
      <w:r w:rsidRPr="00BC3DAC">
        <w:t>Capstone Investment Financial Group</w:t>
      </w:r>
      <w:r>
        <w:t xml:space="preserve"> Inc.</w:t>
      </w:r>
      <w:proofErr w:type="gramEnd"/>
      <w:r>
        <w:t xml:space="preserve"> </w:t>
      </w:r>
      <w:r w:rsidR="002522D7">
        <w:t xml:space="preserve"> </w:t>
      </w:r>
      <w:proofErr w:type="gramStart"/>
      <w:r w:rsidRPr="00BC3DAC">
        <w:t>is</w:t>
      </w:r>
      <w:proofErr w:type="gramEnd"/>
      <w:r w:rsidRPr="00BC3DAC">
        <w:t xml:space="preserve"> a registered investment advisory firm located in Colorado Springs</w:t>
      </w:r>
      <w:r>
        <w:t xml:space="preserve">, </w:t>
      </w:r>
      <w:r w:rsidR="00A64B3F">
        <w:t>Colorado.</w:t>
      </w:r>
      <w:r>
        <w:t xml:space="preserve"> </w:t>
      </w:r>
      <w:r w:rsidRPr="00BC3DAC">
        <w:t xml:space="preserve">  </w:t>
      </w:r>
      <w:proofErr w:type="gramStart"/>
      <w:r w:rsidRPr="00BC3DAC">
        <w:t>Capstone Investment Financial Group</w:t>
      </w:r>
      <w:r>
        <w:t xml:space="preserve"> Inc.</w:t>
      </w:r>
      <w:proofErr w:type="gramEnd"/>
      <w:r>
        <w:t xml:space="preserve"> </w:t>
      </w:r>
      <w:r w:rsidRPr="00BC3DAC">
        <w:t xml:space="preserve"> </w:t>
      </w:r>
      <w:proofErr w:type="gramStart"/>
      <w:r w:rsidRPr="00BC3DAC">
        <w:t>(“Capstone</w:t>
      </w:r>
      <w:r w:rsidR="00D12DE4">
        <w:t>",</w:t>
      </w:r>
      <w:r w:rsidRPr="00BC3DAC">
        <w:t xml:space="preserve"> “</w:t>
      </w:r>
      <w:r w:rsidR="00D12DE4">
        <w:t>We</w:t>
      </w:r>
      <w:r w:rsidR="005D7351" w:rsidRPr="00BC3DAC">
        <w:t>”</w:t>
      </w:r>
      <w:r w:rsidR="005D7351">
        <w:t>,</w:t>
      </w:r>
      <w:r w:rsidR="00D12DE4">
        <w:t xml:space="preserve"> or the "Firm."</w:t>
      </w:r>
      <w:r w:rsidRPr="00BC3DAC">
        <w:t>)</w:t>
      </w:r>
      <w:proofErr w:type="gramEnd"/>
      <w:r w:rsidRPr="00BC3DAC">
        <w:t xml:space="preserve"> </w:t>
      </w:r>
      <w:proofErr w:type="gramStart"/>
      <w:r w:rsidRPr="00BC3DAC">
        <w:t>offers</w:t>
      </w:r>
      <w:proofErr w:type="gramEnd"/>
      <w:r w:rsidRPr="00BC3DAC">
        <w:t xml:space="preserve"> </w:t>
      </w:r>
      <w:r w:rsidR="00784921">
        <w:t xml:space="preserve">the Wrap Fee program discussed in this brochure.  A Wrap fee program is a program for which you pay one fee for both investment advice and custodial/trading services.   </w:t>
      </w:r>
      <w:r w:rsidRPr="00BC3DAC">
        <w:t>More information about these services and the fees associated with these services is contained in this brochure.</w:t>
      </w:r>
    </w:p>
    <w:p w:rsidR="00361690" w:rsidRPr="00BC3DAC" w:rsidRDefault="00361690" w:rsidP="00687DF9">
      <w:r w:rsidRPr="00BC3DAC">
        <w:t xml:space="preserve">The Firm </w:t>
      </w:r>
      <w:r w:rsidR="002522D7">
        <w:t>commenced business on</w:t>
      </w:r>
      <w:r w:rsidRPr="00BC3DAC">
        <w:t xml:space="preserve"> </w:t>
      </w:r>
      <w:r>
        <w:t xml:space="preserve">September 22, 2004. </w:t>
      </w:r>
      <w:r w:rsidRPr="00BC3DAC">
        <w:t xml:space="preserve">  </w:t>
      </w:r>
      <w:r w:rsidR="00F5316C">
        <w:t>Our</w:t>
      </w:r>
      <w:r w:rsidRPr="00BC3DAC">
        <w:t xml:space="preserve"> </w:t>
      </w:r>
      <w:r w:rsidR="00281D9F">
        <w:t>owner is</w:t>
      </w:r>
      <w:r w:rsidRPr="00BC3DAC">
        <w:t xml:space="preserve"> Theodore Schwartz</w:t>
      </w:r>
      <w:r w:rsidR="00281D9F">
        <w:t>.</w:t>
      </w:r>
    </w:p>
    <w:p w:rsidR="00361690" w:rsidRDefault="00A64B3F" w:rsidP="00BC3DAC">
      <w:r>
        <w:t xml:space="preserve">Our Wrap Fee program services are investment supervisory </w:t>
      </w:r>
      <w:r w:rsidR="005F66BE">
        <w:t>services which</w:t>
      </w:r>
      <w:r w:rsidR="00361690">
        <w:t xml:space="preserve"> are ongoing portfolio management services based on</w:t>
      </w:r>
      <w:r w:rsidR="002522D7">
        <w:t xml:space="preserve"> your</w:t>
      </w:r>
      <w:r w:rsidR="00361690">
        <w:t xml:space="preserve"> individual goals, objectives, </w:t>
      </w:r>
      <w:proofErr w:type="gramStart"/>
      <w:r w:rsidR="00361690">
        <w:t>time</w:t>
      </w:r>
      <w:proofErr w:type="gramEnd"/>
      <w:r w:rsidR="00361690">
        <w:t xml:space="preserve"> horizon and risk tolerance.  Investment supervisory services include, but are not limited to, the following:</w:t>
      </w:r>
    </w:p>
    <w:p w:rsidR="00361690" w:rsidRDefault="00361690" w:rsidP="00BC3DAC">
      <w:pPr>
        <w:pStyle w:val="ListParagraph"/>
        <w:numPr>
          <w:ilvl w:val="0"/>
          <w:numId w:val="1"/>
        </w:numPr>
        <w:spacing w:after="0" w:line="240" w:lineRule="auto"/>
      </w:pPr>
      <w:r>
        <w:t>Investment strategy</w:t>
      </w:r>
    </w:p>
    <w:p w:rsidR="00361690" w:rsidRDefault="00361690" w:rsidP="00BC3DAC">
      <w:pPr>
        <w:pStyle w:val="ListParagraph"/>
        <w:numPr>
          <w:ilvl w:val="0"/>
          <w:numId w:val="1"/>
        </w:numPr>
        <w:spacing w:after="0" w:line="240" w:lineRule="auto"/>
      </w:pPr>
      <w:r>
        <w:t>Personal investment policy</w:t>
      </w:r>
    </w:p>
    <w:p w:rsidR="002522D7" w:rsidRDefault="00D12DE4" w:rsidP="00BC3DAC">
      <w:pPr>
        <w:pStyle w:val="ListParagraph"/>
        <w:numPr>
          <w:ilvl w:val="0"/>
          <w:numId w:val="1"/>
        </w:numPr>
        <w:spacing w:after="0" w:line="240" w:lineRule="auto"/>
      </w:pPr>
      <w:r>
        <w:t>Asset a</w:t>
      </w:r>
      <w:r w:rsidR="002522D7">
        <w:t>llocation</w:t>
      </w:r>
    </w:p>
    <w:p w:rsidR="00361690" w:rsidRDefault="00361690" w:rsidP="00BC3DAC">
      <w:pPr>
        <w:pStyle w:val="ListParagraph"/>
        <w:numPr>
          <w:ilvl w:val="0"/>
          <w:numId w:val="1"/>
        </w:numPr>
        <w:spacing w:after="0" w:line="240" w:lineRule="auto"/>
      </w:pPr>
      <w:r>
        <w:t xml:space="preserve">Asset </w:t>
      </w:r>
      <w:r w:rsidR="00D12DE4">
        <w:t>s</w:t>
      </w:r>
      <w:r>
        <w:t>election</w:t>
      </w:r>
    </w:p>
    <w:p w:rsidR="00361690" w:rsidRPr="000E07E1" w:rsidRDefault="00361690" w:rsidP="00BC3DAC">
      <w:pPr>
        <w:pStyle w:val="ListParagraph"/>
        <w:numPr>
          <w:ilvl w:val="0"/>
          <w:numId w:val="1"/>
        </w:numPr>
        <w:spacing w:after="0" w:line="240" w:lineRule="auto"/>
      </w:pPr>
      <w:r w:rsidRPr="000E07E1">
        <w:t>Regular and/or continuous portfolio monitoring</w:t>
      </w:r>
    </w:p>
    <w:p w:rsidR="00361690" w:rsidRPr="000E07E1" w:rsidRDefault="00361690" w:rsidP="000E07E1">
      <w:pPr>
        <w:pStyle w:val="ListParagraph"/>
        <w:spacing w:after="0" w:line="240" w:lineRule="auto"/>
      </w:pPr>
    </w:p>
    <w:p w:rsidR="00361690" w:rsidRDefault="005D7351" w:rsidP="003A061A">
      <w:r>
        <w:t>For our</w:t>
      </w:r>
      <w:r w:rsidR="00361690">
        <w:t xml:space="preserve"> Investment Supervisory services, </w:t>
      </w:r>
      <w:r>
        <w:t>we collect</w:t>
      </w:r>
      <w:r w:rsidR="00361690">
        <w:t xml:space="preserve"> </w:t>
      </w:r>
      <w:r w:rsidR="005F66BE">
        <w:t>a</w:t>
      </w:r>
      <w:r w:rsidR="00361690">
        <w:t xml:space="preserve"> </w:t>
      </w:r>
      <w:r w:rsidR="007F5D62">
        <w:t>Wrap program fee</w:t>
      </w:r>
      <w:r w:rsidR="00361690">
        <w:t xml:space="preserve"> based upon a percentage of Assets under Management as follows:</w:t>
      </w:r>
    </w:p>
    <w:p w:rsidR="005D7351" w:rsidRDefault="005D7351" w:rsidP="005D7351">
      <w:r>
        <w:t>ASSETS UNDER MANAGEMENT</w:t>
      </w:r>
      <w:r>
        <w:tab/>
      </w:r>
      <w:r>
        <w:tab/>
        <w:t>ANNUAL FEE</w:t>
      </w:r>
    </w:p>
    <w:p w:rsidR="005D7351" w:rsidRDefault="005D7351" w:rsidP="005D7351">
      <w:r>
        <w:t>$1 – $250,000</w:t>
      </w:r>
      <w:r>
        <w:tab/>
      </w:r>
      <w:r>
        <w:tab/>
      </w:r>
      <w:r>
        <w:tab/>
      </w:r>
      <w:r>
        <w:tab/>
        <w:t>1.10%</w:t>
      </w:r>
    </w:p>
    <w:p w:rsidR="005D7351" w:rsidRDefault="005D7351" w:rsidP="005D7351">
      <w:r>
        <w:t>$250,001 – $1,000,000</w:t>
      </w:r>
      <w:r>
        <w:tab/>
      </w:r>
      <w:r>
        <w:tab/>
      </w:r>
      <w:r>
        <w:tab/>
        <w:t>1.00%</w:t>
      </w:r>
    </w:p>
    <w:p w:rsidR="005D7351" w:rsidRDefault="005D7351" w:rsidP="005D7351">
      <w:r>
        <w:t xml:space="preserve">$1,000,000 – $2,000,000 </w:t>
      </w:r>
      <w:r>
        <w:tab/>
      </w:r>
      <w:r>
        <w:tab/>
        <w:t>0.75%</w:t>
      </w:r>
    </w:p>
    <w:p w:rsidR="005D7351" w:rsidRDefault="005D7351" w:rsidP="005D7351">
      <w:r>
        <w:t>Above $2,000,000</w:t>
      </w:r>
      <w:r>
        <w:tab/>
      </w:r>
      <w:r>
        <w:tab/>
      </w:r>
      <w:r>
        <w:tab/>
        <w:t>0.60%</w:t>
      </w:r>
    </w:p>
    <w:p w:rsidR="00361690" w:rsidRDefault="00361690" w:rsidP="003A061A">
      <w:r>
        <w:t xml:space="preserve">These fees are negotiable and </w:t>
      </w:r>
      <w:r w:rsidR="00F5316C">
        <w:t>your</w:t>
      </w:r>
      <w:r>
        <w:t xml:space="preserve"> final fee schedule </w:t>
      </w:r>
      <w:r w:rsidR="007519A4">
        <w:t xml:space="preserve">is </w:t>
      </w:r>
      <w:r>
        <w:t xml:space="preserve">Exhibit II of the Investment Advisory Contract.  </w:t>
      </w:r>
    </w:p>
    <w:p w:rsidR="00784921" w:rsidRDefault="00361690" w:rsidP="003A061A">
      <w:pPr>
        <w:tabs>
          <w:tab w:val="left" w:pos="6475"/>
        </w:tabs>
      </w:pPr>
      <w:r>
        <w:t>Fees for Investment Supervisory services are paid quarterly in advance and are typically debited directly from</w:t>
      </w:r>
      <w:r w:rsidR="002522D7">
        <w:t xml:space="preserve"> your account</w:t>
      </w:r>
      <w:r>
        <w:t xml:space="preserve">. In certain instances, </w:t>
      </w:r>
      <w:r w:rsidR="002522D7">
        <w:t xml:space="preserve">you </w:t>
      </w:r>
      <w:r>
        <w:t xml:space="preserve">may elect to be billed directly and to pay quarterly fees by check.   </w:t>
      </w:r>
      <w:r w:rsidR="005D7351">
        <w:t>We refund</w:t>
      </w:r>
      <w:r>
        <w:t xml:space="preserve"> any pre-paid advisory fees for accounts terminated mid-quarter. </w:t>
      </w:r>
      <w:r w:rsidR="002522D7">
        <w:t>You</w:t>
      </w:r>
      <w:r w:rsidR="005D7351">
        <w:t xml:space="preserve"> must notify us</w:t>
      </w:r>
      <w:r>
        <w:t xml:space="preserve"> of the account term</w:t>
      </w:r>
      <w:r w:rsidR="002522D7">
        <w:t xml:space="preserve">ination to receive this refund. </w:t>
      </w:r>
      <w:r w:rsidR="005D7351">
        <w:t>We</w:t>
      </w:r>
      <w:r w:rsidR="00F5316C">
        <w:t xml:space="preserve"> calculate</w:t>
      </w:r>
      <w:r w:rsidR="002522D7">
        <w:t xml:space="preserve"> t</w:t>
      </w:r>
      <w:r>
        <w:t xml:space="preserve">he amount owed to </w:t>
      </w:r>
      <w:r w:rsidR="002522D7">
        <w:t xml:space="preserve">you </w:t>
      </w:r>
      <w:r>
        <w:t>based upon the number of days remaining in the quarter.</w:t>
      </w:r>
      <w:r w:rsidR="00F5316C">
        <w:t xml:space="preserve">  You have the right to terminate our services within five days of signing the client agreement. If you </w:t>
      </w:r>
      <w:r w:rsidR="007208A6">
        <w:t xml:space="preserve">do </w:t>
      </w:r>
      <w:r w:rsidR="00F5316C">
        <w:t>so, you will receive a refund of all pre-paid fee</w:t>
      </w:r>
      <w:r w:rsidR="005F4316">
        <w:t>s</w:t>
      </w:r>
      <w:r w:rsidR="00784921">
        <w:t xml:space="preserve">. </w:t>
      </w:r>
    </w:p>
    <w:p w:rsidR="00784921" w:rsidRDefault="00784921" w:rsidP="003A061A">
      <w:pPr>
        <w:tabs>
          <w:tab w:val="left" w:pos="6475"/>
        </w:tabs>
      </w:pPr>
      <w:r>
        <w:br/>
        <w:t xml:space="preserve">The Wrap fee program may cost you more or less than purchasing such services separately.  For example, if the program trading costs were paid by you, and we traded frequently, you may pay more </w:t>
      </w:r>
      <w:r>
        <w:lastRenderedPageBreak/>
        <w:t>than the Wrap fee.  If the program trading costs were paid by you and we traded infrequently, the total cost to you may be less than the Wrap fee.</w:t>
      </w:r>
    </w:p>
    <w:p w:rsidR="00361690" w:rsidRDefault="00361690" w:rsidP="006471E9">
      <w:pPr>
        <w:pStyle w:val="Heading4"/>
      </w:pPr>
      <w:r>
        <w:t>Other Information about Advisory Fees</w:t>
      </w:r>
    </w:p>
    <w:p w:rsidR="00361690" w:rsidRDefault="002522D7" w:rsidP="006471E9">
      <w:r w:rsidRPr="00784921">
        <w:t>You</w:t>
      </w:r>
      <w:r w:rsidR="00A64B3F" w:rsidRPr="00784921">
        <w:t xml:space="preserve"> do not typically</w:t>
      </w:r>
      <w:r w:rsidR="00361690" w:rsidRPr="00784921">
        <w:t xml:space="preserve"> pay custodial </w:t>
      </w:r>
      <w:r w:rsidR="00F5316C" w:rsidRPr="00784921">
        <w:t>fees and mutual fund expenses.   Your trading cos</w:t>
      </w:r>
      <w:r w:rsidR="00A64B3F" w:rsidRPr="00784921">
        <w:t>ts are included in the Wrap Fee.  Y</w:t>
      </w:r>
      <w:r w:rsidR="00F5316C" w:rsidRPr="00784921">
        <w:t>ou may be cha</w:t>
      </w:r>
      <w:r w:rsidR="00784921">
        <w:t xml:space="preserve">rged a fee for such things as </w:t>
      </w:r>
      <w:r w:rsidR="00A64B3F" w:rsidRPr="00784921">
        <w:t>m</w:t>
      </w:r>
      <w:r w:rsidR="00F5316C" w:rsidRPr="00784921">
        <w:t>argin</w:t>
      </w:r>
      <w:r w:rsidR="00A64B3F" w:rsidRPr="00784921">
        <w:t xml:space="preserve"> interest, a fee for a retirement account, or a transfer fee.  </w:t>
      </w:r>
      <w:r w:rsidR="00F5316C" w:rsidRPr="00784921">
        <w:t xml:space="preserve"> To</w:t>
      </w:r>
      <w:r w:rsidR="00361690" w:rsidRPr="00784921">
        <w:t xml:space="preserve"> learn more about the custodial and brokerage expenses, consult</w:t>
      </w:r>
      <w:r w:rsidR="00784921" w:rsidRPr="00784921">
        <w:t xml:space="preserve"> </w:t>
      </w:r>
      <w:r w:rsidR="00A64B3F" w:rsidRPr="00784921">
        <w:t>your agreement with the custodian of your assets.</w:t>
      </w:r>
    </w:p>
    <w:p w:rsidR="00784921" w:rsidRDefault="00784921" w:rsidP="006471E9">
      <w:r>
        <w:t>The Advisory Representative who recommends the program receives compensation for this recommendation in that he shares in a percentage of the collected fees.</w:t>
      </w:r>
    </w:p>
    <w:p w:rsidR="00361690" w:rsidRDefault="00361690" w:rsidP="00205463">
      <w:pPr>
        <w:pStyle w:val="Heading1"/>
      </w:pPr>
      <w:bookmarkStart w:id="5" w:name="_Toc346082387"/>
      <w:r>
        <w:t xml:space="preserve">Item </w:t>
      </w:r>
      <w:r w:rsidR="007F5D62">
        <w:t>5</w:t>
      </w:r>
      <w:r w:rsidR="00A64B3F">
        <w:tab/>
        <w:t>Account Requirements and Types of Clients</w:t>
      </w:r>
      <w:bookmarkEnd w:id="5"/>
    </w:p>
    <w:p w:rsidR="00361690" w:rsidRDefault="00784921" w:rsidP="00703163">
      <w:r>
        <w:t>In our Wrap Fee Program, w</w:t>
      </w:r>
      <w:r w:rsidR="005D7351">
        <w:t>e provide</w:t>
      </w:r>
      <w:r w:rsidR="00361690">
        <w:t xml:space="preserve"> investment advice to Individuals, Trusts, Estates, Corporations and other business entities.</w:t>
      </w:r>
    </w:p>
    <w:p w:rsidR="00361690" w:rsidRPr="00703163" w:rsidRDefault="00361690" w:rsidP="00703163">
      <w:r>
        <w:t xml:space="preserve">The Firm has a minimum family of accounts value of $25,000.  </w:t>
      </w:r>
      <w:r w:rsidR="005D7351">
        <w:t>We m</w:t>
      </w:r>
      <w:r>
        <w:t xml:space="preserve">ay waive this based on the complexity of the situation or </w:t>
      </w:r>
      <w:r w:rsidR="002522D7">
        <w:t>your needs</w:t>
      </w:r>
      <w:r>
        <w:t xml:space="preserve">. </w:t>
      </w:r>
    </w:p>
    <w:p w:rsidR="00361690" w:rsidRDefault="00784921" w:rsidP="00205463">
      <w:pPr>
        <w:pStyle w:val="Heading1"/>
      </w:pPr>
      <w:bookmarkStart w:id="6" w:name="_Toc346082388"/>
      <w:proofErr w:type="gramStart"/>
      <w:r>
        <w:t>Item</w:t>
      </w:r>
      <w:r w:rsidR="007F5D62">
        <w:t xml:space="preserve"> 6</w:t>
      </w:r>
      <w:r w:rsidR="00361690">
        <w:tab/>
      </w:r>
      <w:r>
        <w:t>Portfolio Manager Selection and Evaluation.</w:t>
      </w:r>
      <w:bookmarkEnd w:id="6"/>
      <w:proofErr w:type="gramEnd"/>
    </w:p>
    <w:p w:rsidR="00784921" w:rsidRDefault="00784921" w:rsidP="00784921">
      <w:r>
        <w:t>We are the Portfolio Manager for the Wrap fee program.  This could create a conflict of interest in that we are recommending ourselves as the manager of our assets.  To address this conflict of interest, we consistently monitor the performance and quality of the advice we provide.   Because we are a portfolio manager for the program, a description of the services we provide is below.</w:t>
      </w:r>
    </w:p>
    <w:p w:rsidR="007F5D62" w:rsidRDefault="007F5D62" w:rsidP="007F5D62">
      <w:pPr>
        <w:pStyle w:val="Heading4"/>
      </w:pPr>
      <w:r>
        <w:t>Advisory Services</w:t>
      </w:r>
    </w:p>
    <w:p w:rsidR="007F5D62" w:rsidRDefault="007F5D62" w:rsidP="007F5D62">
      <w:pPr>
        <w:autoSpaceDE w:val="0"/>
        <w:autoSpaceDN w:val="0"/>
        <w:adjustRightInd w:val="0"/>
        <w:spacing w:after="0" w:line="240" w:lineRule="auto"/>
      </w:pPr>
      <w:r w:rsidRPr="000E07E1">
        <w:t xml:space="preserve">When providing investment supervisory services, </w:t>
      </w:r>
      <w:r>
        <w:t>we evaluate</w:t>
      </w:r>
      <w:r w:rsidRPr="000E07E1">
        <w:t xml:space="preserve"> </w:t>
      </w:r>
      <w:r>
        <w:t>your</w:t>
      </w:r>
      <w:r w:rsidRPr="000E07E1">
        <w:t xml:space="preserve"> current investments </w:t>
      </w:r>
      <w:r>
        <w:t>with respect to you</w:t>
      </w:r>
      <w:r w:rsidRPr="000E07E1">
        <w:t xml:space="preserve">r risk tolerance levels and time horizon.   Capstone believes that a prudent investment strategy reacts to current market conditions and does not lock a portfolio into a fixed allocation.   </w:t>
      </w:r>
      <w:r>
        <w:t>We are an</w:t>
      </w:r>
      <w:r w:rsidRPr="000E07E1">
        <w:t xml:space="preserve"> active manager, meaning </w:t>
      </w:r>
      <w:r>
        <w:t>we</w:t>
      </w:r>
      <w:r w:rsidRPr="000E07E1">
        <w:t xml:space="preserve"> </w:t>
      </w:r>
      <w:r>
        <w:t>build</w:t>
      </w:r>
      <w:r w:rsidRPr="000E07E1">
        <w:t xml:space="preserve"> portfolios with the flexibility to diversify among asset classes and management styles.  </w:t>
      </w:r>
    </w:p>
    <w:p w:rsidR="007F5D62" w:rsidRPr="000E07E1" w:rsidRDefault="007F5D62" w:rsidP="007F5D62">
      <w:pPr>
        <w:autoSpaceDE w:val="0"/>
        <w:autoSpaceDN w:val="0"/>
        <w:adjustRightInd w:val="0"/>
        <w:spacing w:after="0" w:line="240" w:lineRule="auto"/>
        <w:rPr>
          <w:rFonts w:cs="ArialMT"/>
          <w:color w:val="2F1311"/>
        </w:rPr>
      </w:pPr>
    </w:p>
    <w:p w:rsidR="007F5D62" w:rsidRDefault="007F5D62" w:rsidP="007F5D62">
      <w:r w:rsidRPr="000E07E1">
        <w:rPr>
          <w:rFonts w:cs="ArialMT"/>
          <w:color w:val="2F1311"/>
        </w:rPr>
        <w:t xml:space="preserve">Clients </w:t>
      </w:r>
      <w:r w:rsidRPr="000E07E1">
        <w:t>electing to use</w:t>
      </w:r>
      <w:r>
        <w:t xml:space="preserve"> our</w:t>
      </w:r>
      <w:r w:rsidRPr="000E07E1">
        <w:t xml:space="preserve"> investment supervisory services </w:t>
      </w:r>
      <w:r>
        <w:t xml:space="preserve">give us </w:t>
      </w:r>
      <w:r w:rsidRPr="000E07E1">
        <w:t xml:space="preserve">discretionary authority, meaning </w:t>
      </w:r>
      <w:r>
        <w:t xml:space="preserve">that based upon your investment strategy, Capstone will make decisions about the purchases and sales of securities on an ongoing basis.  You will receive an Investment Policy Statement, which documents risk tolerance levels. </w:t>
      </w:r>
    </w:p>
    <w:p w:rsidR="007F5D62" w:rsidRDefault="007F5D62" w:rsidP="007F5D62">
      <w:r>
        <w:t>We tailor advisory services to your individual needs. For average net worth clients, we do so through conversations.   For our higher net worth clients, we may use a tool called Money Guide Pro to help establish your goals and objectives.  You may impose restrictions on investing in certain securities or types of securities.</w:t>
      </w:r>
    </w:p>
    <w:p w:rsidR="007F5D62" w:rsidRDefault="007F5D62" w:rsidP="007F5D62">
      <w:r>
        <w:lastRenderedPageBreak/>
        <w:t xml:space="preserve">Capstone manages client assets.  As of </w:t>
      </w:r>
      <w:r w:rsidR="007208A6">
        <w:t>12/31/201</w:t>
      </w:r>
      <w:r w:rsidR="004550C6">
        <w:t>2</w:t>
      </w:r>
      <w:r>
        <w:t xml:space="preserve">, its discretionary assets under management were </w:t>
      </w:r>
      <w:r w:rsidR="007208A6">
        <w:t>$</w:t>
      </w:r>
      <w:r w:rsidR="004550C6">
        <w:t>44,480,000</w:t>
      </w:r>
      <w:r w:rsidR="00A829FB">
        <w:t>.</w:t>
      </w:r>
      <w:r>
        <w:t xml:space="preserve">  As of</w:t>
      </w:r>
      <w:r w:rsidR="007208A6">
        <w:t xml:space="preserve"> 12/31/2010</w:t>
      </w:r>
      <w:r>
        <w:t xml:space="preserve">, its non-discretionary assets under management were </w:t>
      </w:r>
      <w:r w:rsidR="007208A6">
        <w:t>$</w:t>
      </w:r>
      <w:r w:rsidR="004550C6">
        <w:t>200,000.</w:t>
      </w:r>
    </w:p>
    <w:p w:rsidR="00784921" w:rsidRDefault="007F5D62" w:rsidP="00784921">
      <w:pPr>
        <w:pStyle w:val="Heading4"/>
      </w:pPr>
      <w:r>
        <w:t>Investment Strategies and Risk of Loss</w:t>
      </w:r>
    </w:p>
    <w:p w:rsidR="00361690" w:rsidRDefault="005D7351" w:rsidP="00703163">
      <w:r>
        <w:t>We offer</w:t>
      </w:r>
      <w:r w:rsidR="00361690">
        <w:t xml:space="preserve"> tactical asset management, emphasizing broad diversification, but with a tactical overlay that is used for risk management.  The broad diversification includes stocks, bonds, real assets, real estate investments, market neutral and absolute return strategies and cash.  This is sometimes referred to as an endowment model of investing. </w:t>
      </w:r>
      <w:r w:rsidR="00B57507">
        <w:t xml:space="preserve"> </w:t>
      </w:r>
      <w:r w:rsidR="00361690">
        <w:t xml:space="preserve">While starting with thematic fundamental analysis, the Firm also drills down to </w:t>
      </w:r>
      <w:proofErr w:type="spellStart"/>
      <w:r w:rsidR="00361690">
        <w:t>technicals</w:t>
      </w:r>
      <w:proofErr w:type="spellEnd"/>
      <w:r w:rsidR="00361690">
        <w:t xml:space="preserve"> and charting before investing.  After selecting investments based on the above, we maintain sell stops and monitor the moving average of assets in order to manage risk.  If an investment falls below these criteria, we sell or hedge the risk of the investment.</w:t>
      </w:r>
    </w:p>
    <w:p w:rsidR="00361690" w:rsidRDefault="00361690" w:rsidP="00703163">
      <w:r>
        <w:t xml:space="preserve">The risk of </w:t>
      </w:r>
      <w:r w:rsidR="005D7351">
        <w:t xml:space="preserve">our </w:t>
      </w:r>
      <w:r>
        <w:t xml:space="preserve">strategy is that clients may not fully participate in rising markets.  </w:t>
      </w:r>
      <w:r w:rsidR="005D7351">
        <w:t xml:space="preserve">The investments </w:t>
      </w:r>
      <w:r>
        <w:t xml:space="preserve">may either be in themes that underperform the benchmarks or may be diversified into lower performing asset types. </w:t>
      </w:r>
      <w:r w:rsidR="005D7351">
        <w:t>Your accounts</w:t>
      </w:r>
      <w:r>
        <w:t xml:space="preserve"> may suffer from underperformance during some </w:t>
      </w:r>
      <w:r w:rsidR="002522D7">
        <w:t>time periods</w:t>
      </w:r>
      <w:r>
        <w:t>.  The Firm believes that the risk management offered by the methodology provides</w:t>
      </w:r>
      <w:r w:rsidR="005D7351">
        <w:t xml:space="preserve"> you</w:t>
      </w:r>
      <w:r>
        <w:t xml:space="preserve"> with the ability to compound their assets while potentially reducing their downside risks.</w:t>
      </w:r>
    </w:p>
    <w:p w:rsidR="00361690" w:rsidRDefault="005D7351" w:rsidP="00703163">
      <w:r>
        <w:t>We</w:t>
      </w:r>
      <w:r w:rsidR="00361690">
        <w:t xml:space="preserve"> recommend a wide variety of publicly traded securities including stocks, bonds, exchange traded funds, mutual funds, CDs, and fixed income securities.  </w:t>
      </w:r>
      <w:r>
        <w:t>Some clients may</w:t>
      </w:r>
      <w:r w:rsidR="00361690">
        <w:t xml:space="preserve"> own private partnerships but the Firm does not recommend these products as part of the </w:t>
      </w:r>
      <w:r w:rsidR="002522D7">
        <w:t xml:space="preserve">typical </w:t>
      </w:r>
      <w:r w:rsidR="00361690">
        <w:t>investment portfolio management.</w:t>
      </w:r>
    </w:p>
    <w:p w:rsidR="00361690" w:rsidRDefault="00361690" w:rsidP="00703163">
      <w:r>
        <w:t>Investing in securities involve risk of loss that</w:t>
      </w:r>
      <w:r w:rsidR="002522D7">
        <w:t xml:space="preserve"> you</w:t>
      </w:r>
      <w:r>
        <w:t xml:space="preserve"> should be prepared to bear.</w:t>
      </w:r>
    </w:p>
    <w:p w:rsidR="00A51EAD" w:rsidRDefault="00A51EAD" w:rsidP="00703163">
      <w:r>
        <w:t>Our</w:t>
      </w:r>
      <w:r w:rsidR="00361690">
        <w:t xml:space="preserve"> investment methodology involves risks</w:t>
      </w:r>
      <w:r>
        <w:t xml:space="preserve">. The primary </w:t>
      </w:r>
      <w:r w:rsidR="0017647A">
        <w:t>risks you</w:t>
      </w:r>
      <w:r>
        <w:t xml:space="preserve"> should consider are market risk, company risk and sector risk. These </w:t>
      </w:r>
      <w:r w:rsidR="0017647A">
        <w:t xml:space="preserve">primary risks </w:t>
      </w:r>
      <w:r>
        <w:t xml:space="preserve">are described below.  Other risks include small and medium capitalization risk, ETF risks, Inverse ETF risks, mutual fund risks, and global geo-political risks.   </w:t>
      </w:r>
    </w:p>
    <w:p w:rsidR="00361690" w:rsidRDefault="00361690" w:rsidP="00703163">
      <w:r>
        <w:t>Market risk is the risk that your investments will be worth less than when you originally invested.  Markets fluctuate, causing the value of your investments to fluctuate.</w:t>
      </w:r>
    </w:p>
    <w:p w:rsidR="00361690" w:rsidRDefault="00361690" w:rsidP="00703163">
      <w:r>
        <w:t xml:space="preserve">Company risk is the risk that a specific company </w:t>
      </w:r>
      <w:r w:rsidR="00A51EAD">
        <w:t>we</w:t>
      </w:r>
      <w:r>
        <w:t xml:space="preserve"> recommend fails to perform as expected, causing a portion of your investment to be worth less than originally invested or nothing at all.</w:t>
      </w:r>
    </w:p>
    <w:p w:rsidR="00361690" w:rsidRDefault="00361690" w:rsidP="00703163">
      <w:r>
        <w:t xml:space="preserve">Another area of risk is the focus </w:t>
      </w:r>
      <w:r w:rsidR="002522D7">
        <w:t>of your</w:t>
      </w:r>
      <w:r>
        <w:t xml:space="preserve"> assets in securities of a particular sector. Sector risk is the possibility that securities within the same group of industries will decline in price due to sector-specific market or economic developments.  If a Fund invests more heavily in a particular sector, the value of its shares may be especially sensitive to factors and economic risks that specifically affect that sector. Certain sectors are subject to greater government regulation and changes in regulatory policies for those sectors may have a material effect on the value of securities issued by companies in those sectors.</w:t>
      </w:r>
    </w:p>
    <w:p w:rsidR="007F5D62" w:rsidRDefault="007F5D62" w:rsidP="007F5D62">
      <w:pPr>
        <w:pStyle w:val="Heading4"/>
      </w:pPr>
      <w:r>
        <w:t>Performance-Based Fees and Side By Side Management</w:t>
      </w:r>
    </w:p>
    <w:p w:rsidR="00784921" w:rsidRDefault="00784921" w:rsidP="00703163">
      <w:r>
        <w:t>We do not accept performance-based fees.</w:t>
      </w:r>
    </w:p>
    <w:p w:rsidR="007F5D62" w:rsidRDefault="007F5D62" w:rsidP="00703163"/>
    <w:p w:rsidR="007F5D62" w:rsidRDefault="007F5D62" w:rsidP="007F5D62">
      <w:pPr>
        <w:pStyle w:val="Heading4"/>
      </w:pPr>
      <w:r>
        <w:lastRenderedPageBreak/>
        <w:t>Voting Client Securities</w:t>
      </w:r>
    </w:p>
    <w:p w:rsidR="007F5D62" w:rsidRDefault="007F5D62" w:rsidP="007F5D62">
      <w:r>
        <w:t xml:space="preserve">For its investment management accounts, Capstone does not vote proxies.  You retain this right.  Clients may receive a copy of our proxy voting policies and procedures upon request. </w:t>
      </w:r>
    </w:p>
    <w:p w:rsidR="007F5D62" w:rsidRDefault="007F5D62" w:rsidP="007F5D62">
      <w:pPr>
        <w:pStyle w:val="Heading1"/>
      </w:pPr>
      <w:bookmarkStart w:id="7" w:name="_Toc346082389"/>
      <w:r>
        <w:t>Item 7</w:t>
      </w:r>
      <w:r>
        <w:tab/>
        <w:t>Client Information Provided to Portfolio Managers</w:t>
      </w:r>
      <w:bookmarkEnd w:id="7"/>
    </w:p>
    <w:p w:rsidR="007F5D62" w:rsidRDefault="007F5D62" w:rsidP="007F5D62">
      <w:r>
        <w:t>You will provide information to us. We are the portfolio manager of your account and will use that information to manage your investments.</w:t>
      </w:r>
    </w:p>
    <w:p w:rsidR="007F5D62" w:rsidRDefault="007F5D62" w:rsidP="007F5D62">
      <w:pPr>
        <w:pStyle w:val="Heading1"/>
      </w:pPr>
      <w:bookmarkStart w:id="8" w:name="_Toc346082390"/>
      <w:r>
        <w:t>Item 8</w:t>
      </w:r>
      <w:r>
        <w:tab/>
        <w:t>Client Contact with Portfolio Managers</w:t>
      </w:r>
      <w:bookmarkEnd w:id="8"/>
    </w:p>
    <w:p w:rsidR="007F5D62" w:rsidRDefault="007F5D62" w:rsidP="00703163">
      <w:r>
        <w:t>There are no limitations on your contact with us as your portfolio manager. You may contact us at any time to discuss your account.</w:t>
      </w:r>
    </w:p>
    <w:p w:rsidR="00361690" w:rsidRDefault="00361690" w:rsidP="00317FA9">
      <w:pPr>
        <w:pStyle w:val="Heading1"/>
      </w:pPr>
      <w:bookmarkStart w:id="9" w:name="_Toc346082391"/>
      <w:r>
        <w:t>Item 9</w:t>
      </w:r>
      <w:r>
        <w:tab/>
      </w:r>
      <w:r w:rsidR="007F5D62">
        <w:t>Additional Information</w:t>
      </w:r>
      <w:bookmarkEnd w:id="9"/>
    </w:p>
    <w:p w:rsidR="00361690" w:rsidRDefault="00361690" w:rsidP="005C31AE">
      <w:r>
        <w:t>Neither</w:t>
      </w:r>
      <w:r w:rsidR="00A51EAD">
        <w:t xml:space="preserve"> the Firm</w:t>
      </w:r>
      <w:r>
        <w:t xml:space="preserve"> nor any of</w:t>
      </w:r>
      <w:r w:rsidR="00A51EAD">
        <w:t xml:space="preserve"> our</w:t>
      </w:r>
      <w:r>
        <w:t xml:space="preserve"> management persons have been involved in any event that are material to a client’s or prospective client’s evaluation of the Firm or the integrity of its management.</w:t>
      </w:r>
    </w:p>
    <w:p w:rsidR="00361690" w:rsidRDefault="00361690" w:rsidP="007F5D62">
      <w:pPr>
        <w:pStyle w:val="Heading4"/>
      </w:pPr>
      <w:r>
        <w:t>Code of Ethics, Participation or Interest in Client Transactions and Personal Trading</w:t>
      </w:r>
    </w:p>
    <w:p w:rsidR="00361690" w:rsidRDefault="00361690" w:rsidP="00C87E7F">
      <w:r>
        <w:t xml:space="preserve">Associated persons may buy or sell for their own accounts the same securities recommended to </w:t>
      </w:r>
      <w:r w:rsidR="002522D7">
        <w:t>you</w:t>
      </w:r>
      <w:r>
        <w:t xml:space="preserve">.  </w:t>
      </w:r>
      <w:r w:rsidR="00D44F4A">
        <w:t xml:space="preserve"> This creates a conflict of interest.  </w:t>
      </w:r>
      <w:r>
        <w:t xml:space="preserve">Associated persons seek to ensure that they do not personally benefit from the short-term market effects of their recommendations to </w:t>
      </w:r>
      <w:r w:rsidR="002522D7">
        <w:t xml:space="preserve">you </w:t>
      </w:r>
      <w:r>
        <w:t>and</w:t>
      </w:r>
      <w:r w:rsidR="002522D7">
        <w:t xml:space="preserve"> </w:t>
      </w:r>
      <w:r w:rsidR="00A51EAD">
        <w:t>we</w:t>
      </w:r>
      <w:r w:rsidR="002522D7">
        <w:t xml:space="preserve"> monitor their</w:t>
      </w:r>
      <w:r>
        <w:t xml:space="preserve"> personal</w:t>
      </w:r>
      <w:r w:rsidR="00A51EAD">
        <w:t xml:space="preserve"> trading</w:t>
      </w:r>
      <w:r>
        <w:t>.</w:t>
      </w:r>
    </w:p>
    <w:p w:rsidR="00361690" w:rsidRDefault="00361690" w:rsidP="00C87E7F">
      <w:r>
        <w:t>Associated persons are aware of the rules regarding material non-public information and insider trading. Associated persons may also buy or sell a specific security for their own account based on personal investment considerations, which the Advisor does not deem appropriate to buy or sell for clients.</w:t>
      </w:r>
    </w:p>
    <w:p w:rsidR="00361690" w:rsidRDefault="00A51EAD" w:rsidP="00C87E7F">
      <w:r>
        <w:t>We have</w:t>
      </w:r>
      <w:r w:rsidR="00361690">
        <w:t xml:space="preserve"> adopted a Code of Ethics to instruct its personnel in their ethical obligations and to provide rules for their personal securities transactions. </w:t>
      </w:r>
      <w:r>
        <w:t>The Firm and our</w:t>
      </w:r>
      <w:r w:rsidR="00361690">
        <w:t xml:space="preserve"> personnel owe a duty of loyalty, fairness and good faith to their clients, and the obligation to adhere not only to the specific provisions of the code but also to the general principles that guide the Code.  The Code covers a range of topics including general ethical principles, reporting personal securities trading, exceptions to reporting securities trading, reportable securities, initial public offerings and private placements, reporting ethical violations, distribution of the Code, review and enforcement processes, amendments to Form ADV and supervisory procedures.  </w:t>
      </w:r>
      <w:r>
        <w:t>We</w:t>
      </w:r>
      <w:r w:rsidR="00361690">
        <w:t xml:space="preserve"> will provide a copy of the Code to any client or prospective Client upon request.</w:t>
      </w:r>
    </w:p>
    <w:p w:rsidR="00361690" w:rsidRDefault="00361690" w:rsidP="007F5D62">
      <w:pPr>
        <w:pStyle w:val="Heading4"/>
      </w:pPr>
      <w:r>
        <w:t>Brokerage Practices</w:t>
      </w:r>
    </w:p>
    <w:p w:rsidR="00D12DE4" w:rsidRDefault="00A51EAD" w:rsidP="00D12DE4">
      <w:r>
        <w:t>We do not</w:t>
      </w:r>
      <w:r w:rsidR="00D12DE4">
        <w:t xml:space="preserve"> receive any research or other products or services other than execution from a broker-dealer or third party in connection with your securities transactions. Nor </w:t>
      </w:r>
      <w:r>
        <w:t>do we</w:t>
      </w:r>
      <w:r w:rsidR="00D12DE4">
        <w:t xml:space="preserve"> receive any client referrals from a broker-dealer or third party.</w:t>
      </w:r>
    </w:p>
    <w:p w:rsidR="00D12DE4" w:rsidRDefault="00A51EAD" w:rsidP="00D12DE4">
      <w:r>
        <w:lastRenderedPageBreak/>
        <w:t>We</w:t>
      </w:r>
      <w:r w:rsidR="00D12DE4">
        <w:t xml:space="preserve"> typically recommend TD AMERITRADE Institutional, Division of TD AMERITRADE, Inc. member FINRA/SIPC, as a custodian.  The Firm chose TD Ameritrade as our main custodian because of their customer service, technology, trade execution, and low expenses to clients. They have relatively low transaction fees, no custodial fees, provide many client services free of charge, and provide </w:t>
      </w:r>
      <w:r w:rsidR="005F4316">
        <w:t xml:space="preserve">documentation </w:t>
      </w:r>
      <w:r w:rsidR="00D12DE4">
        <w:t>on best execution for our review and monitoring.</w:t>
      </w:r>
    </w:p>
    <w:p w:rsidR="00AA15AB" w:rsidRDefault="00AA15AB" w:rsidP="00AA15AB">
      <w:r>
        <w:t xml:space="preserve">We may “bunch” buy or sell orders for two or more clients into a single large order, and place the bunched order with a single broker or dealer for execution. We are not obligated to place all transactions on a “bunched” basis.  When determining </w:t>
      </w:r>
      <w:r w:rsidR="0017647A">
        <w:t>whether</w:t>
      </w:r>
      <w:r>
        <w:t xml:space="preserve"> to “bunch” orders, we rely on the judgment of the </w:t>
      </w:r>
      <w:r w:rsidR="005F66BE">
        <w:t>Chief Compliance Officer (</w:t>
      </w:r>
      <w:r>
        <w:t>CCO</w:t>
      </w:r>
      <w:r w:rsidR="005F66BE">
        <w:t>)</w:t>
      </w:r>
      <w:r>
        <w:t xml:space="preserve"> as to what course of action is likely to be fair and in the best interests of the relevant accounts on an overall basis. That is, we seek to avoid putting any client account at an advantage or disadvantage compared to our other client accounts that are buying or selling the same security.</w:t>
      </w:r>
    </w:p>
    <w:p w:rsidR="00D12DE4" w:rsidRDefault="00D12DE4" w:rsidP="00D12DE4">
      <w:r>
        <w:t>Block trading is permitted where the following conditions are met:</w:t>
      </w:r>
    </w:p>
    <w:p w:rsidR="00D12DE4" w:rsidRDefault="00D12DE4" w:rsidP="00D12DE4">
      <w:r>
        <w:t>Orders of two or more clients may be bunched only if CIFG has determined, on an individual basis that the securities order is:</w:t>
      </w:r>
    </w:p>
    <w:p w:rsidR="00D12DE4" w:rsidRDefault="00D12DE4" w:rsidP="00D12DE4">
      <w:r>
        <w:t>1.</w:t>
      </w:r>
      <w:r>
        <w:tab/>
      </w:r>
      <w:proofErr w:type="gramStart"/>
      <w:r>
        <w:t>In</w:t>
      </w:r>
      <w:proofErr w:type="gramEnd"/>
      <w:r>
        <w:t xml:space="preserve"> the best interests of each client participating in the order;</w:t>
      </w:r>
    </w:p>
    <w:p w:rsidR="00D12DE4" w:rsidRDefault="00D12DE4" w:rsidP="00D12DE4">
      <w:r>
        <w:t>2.</w:t>
      </w:r>
      <w:r>
        <w:tab/>
        <w:t xml:space="preserve">Consistent with CIFG's duty to obtain best execution; and </w:t>
      </w:r>
    </w:p>
    <w:p w:rsidR="00D12DE4" w:rsidRDefault="00D12DE4" w:rsidP="00D12DE4">
      <w:r>
        <w:t>3.</w:t>
      </w:r>
      <w:r>
        <w:tab/>
        <w:t>Consistent with the terms of the investment Advisory agreement of each participating client.</w:t>
      </w:r>
    </w:p>
    <w:p w:rsidR="00D12DE4" w:rsidRDefault="00D12DE4" w:rsidP="00D12DE4">
      <w:r>
        <w:t xml:space="preserve">Where conducting a block trade, the CCO will determine the accounts that will participate, and the specific allocations in advance of the transaction. If the entire order is filled, </w:t>
      </w:r>
      <w:r w:rsidR="00AA15AB">
        <w:t>you will</w:t>
      </w:r>
      <w:r>
        <w:t xml:space="preserve"> receive </w:t>
      </w:r>
      <w:r w:rsidR="0017647A">
        <w:t>your portion</w:t>
      </w:r>
      <w:r>
        <w:t xml:space="preserve"> of the allocation specified on the trade ticket. All allocations are prior to the close of business on trade date. Client accounts participating in the transaction will receive the weighted average price of the security and will incur a pro-rata share of the transaction cost.</w:t>
      </w:r>
    </w:p>
    <w:p w:rsidR="00D12DE4" w:rsidRDefault="005F4316" w:rsidP="00D12DE4">
      <w:r>
        <w:t xml:space="preserve">If part of the order is unfilled, the allocation is based upon an alphabetical order pre-determined with a random alphabet generator. </w:t>
      </w:r>
      <w:r w:rsidR="00D12DE4">
        <w:t xml:space="preserve"> The trading allocation is made in order based on the last name of the client using this list.  This list is amended every six months. The allocation shall be made in the best interests of all the clients, taking into account all relevant factors, including, but not limited to, the size of each client’s allocation, clients’ liquidity needs, and previous allocations. If appropriate, </w:t>
      </w:r>
      <w:r w:rsidR="00AA15AB">
        <w:t>we</w:t>
      </w:r>
      <w:r w:rsidR="00D12DE4">
        <w:t xml:space="preserve"> will then re-submit the trade on the following business day for completion of the balance of the order if the portfolio manager determines that the price is still advantageous for the remaining accounts.</w:t>
      </w:r>
    </w:p>
    <w:p w:rsidR="00361690" w:rsidRDefault="00D12DE4" w:rsidP="00D12DE4">
      <w:r>
        <w:t>The books and records of</w:t>
      </w:r>
      <w:r w:rsidR="00AA15AB">
        <w:t xml:space="preserve"> the </w:t>
      </w:r>
      <w:r w:rsidR="0017647A">
        <w:t>Firm</w:t>
      </w:r>
      <w:r w:rsidR="00F5316C">
        <w:t xml:space="preserve"> </w:t>
      </w:r>
      <w:r>
        <w:t>separately reflect, for each client for whom an order is bunched, the securities held by, purchased, and sold for that client</w:t>
      </w:r>
      <w:r w:rsidR="007208A6">
        <w:t>.</w:t>
      </w:r>
    </w:p>
    <w:p w:rsidR="00361690" w:rsidRPr="007F5D62" w:rsidRDefault="00361690" w:rsidP="007F5D62">
      <w:pPr>
        <w:pStyle w:val="Heading4"/>
      </w:pPr>
      <w:r w:rsidRPr="007F5D62">
        <w:lastRenderedPageBreak/>
        <w:t>Review of Accounts</w:t>
      </w:r>
    </w:p>
    <w:p w:rsidR="00361690" w:rsidRDefault="00AA15AB" w:rsidP="00D12DE4">
      <w:r>
        <w:t>We</w:t>
      </w:r>
      <w:r w:rsidR="00D12DE4">
        <w:t xml:space="preserve"> continuously </w:t>
      </w:r>
      <w:r w:rsidR="0017647A">
        <w:t>review</w:t>
      </w:r>
      <w:r w:rsidR="00D12DE4">
        <w:t xml:space="preserve"> the securities in every client's account. The accounts are reviewed quarterly. </w:t>
      </w:r>
      <w:r w:rsidR="00D12DE4" w:rsidRPr="00AE2DB8">
        <w:t xml:space="preserve">Accounts </w:t>
      </w:r>
      <w:r w:rsidR="00D12DE4">
        <w:t>are</w:t>
      </w:r>
      <w:r w:rsidR="00D12DE4" w:rsidRPr="00AE2DB8">
        <w:t xml:space="preserve"> reviewed by an investment committee composed of all owners of Capstone </w:t>
      </w:r>
      <w:r w:rsidR="00D12DE4">
        <w:t xml:space="preserve">Investment Financial Group, Inc., </w:t>
      </w:r>
      <w:r w:rsidR="00D12DE4" w:rsidRPr="00AE2DB8">
        <w:t>who are Investment Advisor Representatives.</w:t>
      </w:r>
    </w:p>
    <w:p w:rsidR="00361690" w:rsidRDefault="00361690" w:rsidP="007F5D62">
      <w:pPr>
        <w:pStyle w:val="Heading4"/>
      </w:pPr>
      <w:r>
        <w:t>Client Referrals and Other Compensation</w:t>
      </w:r>
    </w:p>
    <w:p w:rsidR="00361690" w:rsidRDefault="00DD69AF" w:rsidP="00244021">
      <w:r>
        <w:t xml:space="preserve">We do not pay anyone for client referrals for our </w:t>
      </w:r>
      <w:r w:rsidR="007F5D62">
        <w:t>wrap fee accounts</w:t>
      </w:r>
      <w:r>
        <w:t xml:space="preserve">.  </w:t>
      </w:r>
    </w:p>
    <w:p w:rsidR="007F5D62" w:rsidRDefault="007F5D62" w:rsidP="007F5D62">
      <w:pPr>
        <w:pStyle w:val="Heading4"/>
      </w:pPr>
      <w:r>
        <w:t>Financial Information</w:t>
      </w:r>
    </w:p>
    <w:p w:rsidR="007F5D62" w:rsidRDefault="007F5D62" w:rsidP="007F5D62">
      <w:r>
        <w:t>Capstone has no financial condition that is reasonably likely to impair its ability to meet contractual commitments to clients.</w:t>
      </w:r>
    </w:p>
    <w:p w:rsidR="00361690" w:rsidRDefault="00361690" w:rsidP="007F5D62">
      <w:pPr>
        <w:pStyle w:val="Heading4"/>
      </w:pPr>
      <w:r>
        <w:t>Custody</w:t>
      </w:r>
    </w:p>
    <w:p w:rsidR="00361690" w:rsidRDefault="00AA15AB" w:rsidP="003B31C7">
      <w:r>
        <w:t>We have</w:t>
      </w:r>
      <w:r w:rsidR="00361690">
        <w:t xml:space="preserve"> custody of client assets only due to its ability to withdraw fees from customer accounts.  The qualified custodian of client assets sends account statements directly to </w:t>
      </w:r>
      <w:r w:rsidR="005F4316">
        <w:t>c</w:t>
      </w:r>
      <w:r w:rsidR="00361690">
        <w:t xml:space="preserve">lients. </w:t>
      </w:r>
      <w:r>
        <w:t>You</w:t>
      </w:r>
      <w:r w:rsidR="00361690">
        <w:t xml:space="preserve"> will receive account statements from the broker-dealer or other qualified custodian. Clients should carefully review those statements.  </w:t>
      </w:r>
    </w:p>
    <w:p w:rsidR="00361690" w:rsidRPr="003B31C7" w:rsidRDefault="00AA15AB" w:rsidP="003B31C7">
      <w:r>
        <w:t>We send</w:t>
      </w:r>
      <w:r w:rsidR="00361690">
        <w:t xml:space="preserve"> clients an enhanced performance report at least annually. This report shows clients the rate of return on their </w:t>
      </w:r>
      <w:r w:rsidR="00361690" w:rsidRPr="002522D7">
        <w:t>investments and management fees.</w:t>
      </w:r>
    </w:p>
    <w:p w:rsidR="00361690" w:rsidRDefault="00361690" w:rsidP="007F5D62">
      <w:pPr>
        <w:pStyle w:val="Heading4"/>
      </w:pPr>
      <w:r>
        <w:t>Investment Discretion</w:t>
      </w:r>
    </w:p>
    <w:p w:rsidR="00D12DE4" w:rsidRDefault="00D12DE4" w:rsidP="00D12DE4">
      <w:r>
        <w:t xml:space="preserve">For those investment supervisory accounts, </w:t>
      </w:r>
      <w:r w:rsidR="00AA15AB">
        <w:t xml:space="preserve">we </w:t>
      </w:r>
      <w:r w:rsidR="005F66BE">
        <w:t>maintain limited</w:t>
      </w:r>
      <w:r>
        <w:t xml:space="preserve"> power of authority over your account with respect to securities to be bought and sold and amount of securities to be bought and sold. </w:t>
      </w:r>
    </w:p>
    <w:p w:rsidR="005F4316" w:rsidRDefault="005F4316">
      <w:pPr>
        <w:spacing w:after="0" w:line="240" w:lineRule="auto"/>
        <w:rPr>
          <w:rFonts w:ascii="Cambria" w:eastAsia="Times New Roman" w:hAnsi="Cambria"/>
          <w:b/>
          <w:bCs/>
          <w:color w:val="365F91"/>
          <w:sz w:val="28"/>
          <w:szCs w:val="28"/>
        </w:rPr>
      </w:pPr>
      <w:r>
        <w:br w:type="page"/>
      </w:r>
    </w:p>
    <w:p w:rsidR="009B6C32" w:rsidRDefault="009B6C32" w:rsidP="009B6C32">
      <w:pPr>
        <w:pStyle w:val="Heading1"/>
      </w:pPr>
      <w:bookmarkStart w:id="10" w:name="_Toc346082392"/>
      <w:r>
        <w:lastRenderedPageBreak/>
        <w:t>Brochure Supplement</w:t>
      </w:r>
      <w:bookmarkEnd w:id="10"/>
    </w:p>
    <w:p w:rsidR="009B6C32" w:rsidRDefault="009B6C32" w:rsidP="009B6C32">
      <w:pPr>
        <w:pStyle w:val="Heading1"/>
      </w:pPr>
      <w:bookmarkStart w:id="11" w:name="_Toc287458471"/>
      <w:bookmarkStart w:id="12" w:name="_Toc292975439"/>
      <w:bookmarkStart w:id="13" w:name="_Toc346082393"/>
      <w:r>
        <w:t>Item 1</w:t>
      </w:r>
      <w:r>
        <w:tab/>
        <w:t xml:space="preserve"> Cover Page</w:t>
      </w:r>
      <w:bookmarkEnd w:id="11"/>
      <w:bookmarkEnd w:id="12"/>
      <w:bookmarkEnd w:id="13"/>
    </w:p>
    <w:p w:rsidR="009B6C32" w:rsidRDefault="009B6C32" w:rsidP="009B6C32">
      <w:r>
        <w:t>This brochure supplement provides infor</w:t>
      </w:r>
      <w:r w:rsidR="0024313A">
        <w:t xml:space="preserve">mation about Theodore </w:t>
      </w:r>
      <w:r w:rsidR="00281D9F">
        <w:t>Schwartz</w:t>
      </w:r>
      <w:r>
        <w:t>.  Please contact us at (719) 477- 9883 if you did not receive Capstone Investment Financial Group, Inc.'s brochure or if you have any questions about the contents of this supplement.</w:t>
      </w:r>
    </w:p>
    <w:p w:rsidR="009B6C32" w:rsidRDefault="009B6C32" w:rsidP="009B6C32">
      <w:pPr>
        <w:pStyle w:val="Heading1"/>
      </w:pPr>
      <w:bookmarkStart w:id="14" w:name="_Toc287458472"/>
      <w:bookmarkStart w:id="15" w:name="_Toc292975440"/>
      <w:bookmarkStart w:id="16" w:name="_Toc346082394"/>
      <w:r>
        <w:t>Item 2</w:t>
      </w:r>
      <w:r>
        <w:tab/>
        <w:t>Educational Background and Business Experience</w:t>
      </w:r>
      <w:bookmarkEnd w:id="14"/>
      <w:bookmarkEnd w:id="15"/>
      <w:bookmarkEnd w:id="16"/>
    </w:p>
    <w:p w:rsidR="009B6C32" w:rsidRDefault="009B6C32" w:rsidP="009B6C32">
      <w:pPr>
        <w:spacing w:after="0" w:line="240" w:lineRule="auto"/>
      </w:pPr>
    </w:p>
    <w:p w:rsidR="009B6C32" w:rsidRDefault="009B6C32" w:rsidP="009B6C32">
      <w:pPr>
        <w:spacing w:after="0" w:line="240" w:lineRule="auto"/>
      </w:pPr>
      <w:r w:rsidRPr="00B57507">
        <w:rPr>
          <w:b/>
        </w:rPr>
        <w:t>Name:</w:t>
      </w:r>
      <w:r w:rsidRPr="00B57507">
        <w:rPr>
          <w:b/>
        </w:rPr>
        <w:tab/>
        <w:t>Theodore Schwartz</w:t>
      </w:r>
      <w:r w:rsidRPr="00B57507">
        <w:rPr>
          <w:b/>
        </w:rPr>
        <w:tab/>
      </w:r>
      <w:r>
        <w:tab/>
      </w:r>
      <w:r>
        <w:tab/>
        <w:t>Born: 1947</w:t>
      </w:r>
    </w:p>
    <w:p w:rsidR="009B6C32" w:rsidRDefault="009B6C32" w:rsidP="009B6C32">
      <w:pPr>
        <w:spacing w:after="0" w:line="240" w:lineRule="auto"/>
      </w:pPr>
    </w:p>
    <w:p w:rsidR="009B6C32" w:rsidRDefault="009B6C32" w:rsidP="009B6C32">
      <w:pPr>
        <w:spacing w:after="0" w:line="240" w:lineRule="auto"/>
      </w:pPr>
      <w:r>
        <w:t>Education Background:</w:t>
      </w:r>
    </w:p>
    <w:p w:rsidR="009B6C32" w:rsidRDefault="009B6C32" w:rsidP="009B6C32">
      <w:pPr>
        <w:spacing w:after="0" w:line="240" w:lineRule="auto"/>
      </w:pPr>
    </w:p>
    <w:p w:rsidR="009B6C32" w:rsidRDefault="009B6C32" w:rsidP="009B6C32">
      <w:pPr>
        <w:spacing w:after="0" w:line="240" w:lineRule="auto"/>
      </w:pPr>
      <w:r>
        <w:t>B.A. Duke University 1969 Psychology</w:t>
      </w:r>
    </w:p>
    <w:p w:rsidR="009B6C32" w:rsidRDefault="009B6C32" w:rsidP="009B6C32">
      <w:pPr>
        <w:spacing w:after="0" w:line="240" w:lineRule="auto"/>
      </w:pPr>
      <w:r>
        <w:t>M.A. Oregon State University 1972 General Studies</w:t>
      </w:r>
    </w:p>
    <w:p w:rsidR="009B6C32" w:rsidRDefault="009B6C32" w:rsidP="009B6C32">
      <w:pPr>
        <w:spacing w:after="0" w:line="240" w:lineRule="auto"/>
      </w:pPr>
      <w:r>
        <w:t xml:space="preserve">College </w:t>
      </w:r>
      <w:proofErr w:type="gramStart"/>
      <w:r>
        <w:t>For</w:t>
      </w:r>
      <w:proofErr w:type="gramEnd"/>
      <w:r>
        <w:t xml:space="preserve"> Financial Planning 1998 CFP</w:t>
      </w:r>
    </w:p>
    <w:p w:rsidR="009B6C32" w:rsidRDefault="009B6C32" w:rsidP="009B6C32">
      <w:pPr>
        <w:spacing w:after="0" w:line="240" w:lineRule="auto"/>
      </w:pPr>
    </w:p>
    <w:p w:rsidR="009B6C32" w:rsidRDefault="009B6C32" w:rsidP="009B6C32">
      <w:pPr>
        <w:spacing w:after="0" w:line="240" w:lineRule="auto"/>
      </w:pPr>
      <w:r>
        <w:t>Business Background:</w:t>
      </w:r>
    </w:p>
    <w:p w:rsidR="009B6C32" w:rsidRDefault="009B6C32" w:rsidP="009B6C32">
      <w:pPr>
        <w:spacing w:after="0" w:line="240" w:lineRule="auto"/>
      </w:pPr>
    </w:p>
    <w:p w:rsidR="009B6C32" w:rsidRDefault="009B6C32" w:rsidP="009B6C32">
      <w:pPr>
        <w:spacing w:after="0" w:line="240" w:lineRule="auto"/>
      </w:pPr>
      <w:r>
        <w:t>2004 – Present</w:t>
      </w:r>
      <w:r>
        <w:tab/>
      </w:r>
      <w:r>
        <w:tab/>
        <w:t>President</w:t>
      </w:r>
      <w:r>
        <w:tab/>
      </w:r>
      <w:r>
        <w:tab/>
        <w:t>Capstone Investment Financial Group, Inc</w:t>
      </w:r>
    </w:p>
    <w:p w:rsidR="009B6C32" w:rsidRDefault="009B6C32" w:rsidP="009B6C32">
      <w:pPr>
        <w:spacing w:after="0" w:line="240" w:lineRule="auto"/>
      </w:pPr>
      <w:r>
        <w:t>2009 – Present</w:t>
      </w:r>
      <w:r>
        <w:tab/>
        <w:t xml:space="preserve">               IAR                                     Capstone Investment Financial Group, Inc</w:t>
      </w:r>
    </w:p>
    <w:p w:rsidR="009B6C32" w:rsidRDefault="009B6C32" w:rsidP="009B6C32">
      <w:pPr>
        <w:spacing w:after="0" w:line="240" w:lineRule="auto"/>
      </w:pPr>
      <w:r>
        <w:t>1999 – Present</w:t>
      </w:r>
      <w:r>
        <w:tab/>
      </w:r>
      <w:r>
        <w:tab/>
        <w:t>Ind. Insurance Agent</w:t>
      </w:r>
    </w:p>
    <w:p w:rsidR="009B6C32" w:rsidRDefault="009B6C32" w:rsidP="009B6C32">
      <w:pPr>
        <w:spacing w:after="0" w:line="240" w:lineRule="auto"/>
      </w:pPr>
      <w:r>
        <w:t xml:space="preserve">2006 - 2009 </w:t>
      </w:r>
      <w:r>
        <w:tab/>
      </w:r>
      <w:r>
        <w:tab/>
        <w:t xml:space="preserve">IAR </w:t>
      </w:r>
      <w:r>
        <w:tab/>
      </w:r>
      <w:r>
        <w:tab/>
      </w:r>
      <w:r>
        <w:tab/>
        <w:t>Cambridge Investment Research</w:t>
      </w:r>
    </w:p>
    <w:p w:rsidR="009B6C32" w:rsidRDefault="009B6C32" w:rsidP="009B6C32">
      <w:pPr>
        <w:spacing w:after="0" w:line="240" w:lineRule="auto"/>
      </w:pPr>
      <w:r>
        <w:t xml:space="preserve">1999 – 2006 </w:t>
      </w:r>
      <w:r>
        <w:tab/>
      </w:r>
      <w:r>
        <w:tab/>
        <w:t xml:space="preserve">IAR </w:t>
      </w:r>
      <w:r>
        <w:tab/>
      </w:r>
      <w:r>
        <w:tab/>
      </w:r>
      <w:r>
        <w:tab/>
        <w:t>Commonwealth Financial Network</w:t>
      </w:r>
    </w:p>
    <w:p w:rsidR="009B6C32" w:rsidRDefault="009B6C32" w:rsidP="009B6C32">
      <w:pPr>
        <w:spacing w:after="0" w:line="240" w:lineRule="auto"/>
      </w:pPr>
    </w:p>
    <w:p w:rsidR="009B6C32" w:rsidRPr="00DD69AF" w:rsidRDefault="009B6C32" w:rsidP="009B6C32">
      <w:pPr>
        <w:pStyle w:val="NormalWeb"/>
        <w:rPr>
          <w:rFonts w:asciiTheme="minorHAnsi" w:hAnsiTheme="minorHAnsi" w:cstheme="minorHAnsi"/>
          <w:sz w:val="22"/>
          <w:szCs w:val="22"/>
        </w:rPr>
      </w:pPr>
      <w:r w:rsidRPr="00DD69AF">
        <w:rPr>
          <w:rFonts w:asciiTheme="minorHAnsi" w:hAnsiTheme="minorHAnsi" w:cstheme="minorHAnsi"/>
          <w:sz w:val="22"/>
          <w:szCs w:val="22"/>
        </w:rPr>
        <w:t>Theodore Schwartz holds the CFP® designation.  The CERTIFIED FINANCIAL PLANNER™,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and federally registered CFP (with flame design) marks (collectively, the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marks”) are professional certification marks granted in the United States by Certified Financial Planner Board of Standards, Inc. (“CFP Board”). </w:t>
      </w:r>
    </w:p>
    <w:p w:rsidR="009B6C32" w:rsidRPr="00DD69AF" w:rsidRDefault="009B6C32" w:rsidP="009B6C32">
      <w:pPr>
        <w:pStyle w:val="NormalWeb"/>
        <w:rPr>
          <w:rFonts w:asciiTheme="minorHAnsi" w:hAnsiTheme="minorHAnsi" w:cstheme="minorHAnsi"/>
          <w:sz w:val="22"/>
          <w:szCs w:val="22"/>
        </w:rPr>
      </w:pPr>
      <w:r w:rsidRPr="00DD69AF">
        <w:rPr>
          <w:rFonts w:asciiTheme="minorHAnsi" w:hAnsiTheme="minorHAnsi" w:cstheme="minorHAnsi"/>
          <w:sz w:val="22"/>
          <w:szCs w:val="22"/>
        </w:rPr>
        <w:t>The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certification is a voluntary certification; no federal or state law or regulation requires financial planners to hold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certification. It is recognized in the United States and a number of other countries for its (1) high standard of professional education; (2) stringent code of conduct and standards of practice; and (3) ethical requirements that govern professional engagements with clients. Currently, more than 62,000 individuals have obtained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certification in the United States. </w:t>
      </w:r>
    </w:p>
    <w:p w:rsidR="009B6C32" w:rsidRPr="00DD69AF" w:rsidRDefault="009B6C32" w:rsidP="009B6C32">
      <w:pPr>
        <w:pStyle w:val="NormalWeb"/>
        <w:rPr>
          <w:rFonts w:asciiTheme="minorHAnsi" w:hAnsiTheme="minorHAnsi" w:cstheme="minorHAnsi"/>
          <w:sz w:val="22"/>
          <w:szCs w:val="22"/>
        </w:rPr>
      </w:pPr>
      <w:r w:rsidRPr="00DD69AF">
        <w:rPr>
          <w:rFonts w:asciiTheme="minorHAnsi" w:hAnsiTheme="minorHAnsi" w:cstheme="minorHAnsi"/>
          <w:sz w:val="22"/>
          <w:szCs w:val="22"/>
        </w:rPr>
        <w:t>To attain the right to use the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marks, an individual must satisfactorily fulfill the following requirements: </w:t>
      </w:r>
    </w:p>
    <w:p w:rsidR="009B6C32" w:rsidRPr="00DD69AF" w:rsidRDefault="009B6C32" w:rsidP="009B6C32">
      <w:pPr>
        <w:pStyle w:val="NormalWeb"/>
        <w:numPr>
          <w:ilvl w:val="0"/>
          <w:numId w:val="2"/>
        </w:numPr>
        <w:rPr>
          <w:rFonts w:asciiTheme="minorHAnsi" w:hAnsiTheme="minorHAnsi" w:cstheme="minorHAnsi"/>
          <w:sz w:val="22"/>
          <w:szCs w:val="22"/>
        </w:rPr>
      </w:pPr>
      <w:r w:rsidRPr="00DD69AF">
        <w:rPr>
          <w:rFonts w:asciiTheme="minorHAnsi" w:hAnsiTheme="minorHAnsi" w:cstheme="minorHAnsi"/>
          <w:sz w:val="22"/>
          <w:szCs w:val="22"/>
        </w:rPr>
        <w:t xml:space="preserve">Education – Complete an advanced college-level course of study addressing the financial planning subject areas that CFP Board’s studies have determined as necessary for the competent and professional delivery of financial planning services, and attain a Bachelor’s Degree from a regionally accredited United States college or university (or its equivalent from a </w:t>
      </w:r>
      <w:r w:rsidRPr="00DD69AF">
        <w:rPr>
          <w:rFonts w:asciiTheme="minorHAnsi" w:hAnsiTheme="minorHAnsi" w:cstheme="minorHAnsi"/>
          <w:sz w:val="22"/>
          <w:szCs w:val="22"/>
        </w:rPr>
        <w:lastRenderedPageBreak/>
        <w:t>foreign university). CFP Board’s financial planning subject areas include insurance planning and risk management, employee benefits planning, investment planning, income tax planning, retirement planning, and estate planning</w:t>
      </w:r>
      <w:r>
        <w:rPr>
          <w:rFonts w:asciiTheme="minorHAnsi" w:hAnsiTheme="minorHAnsi" w:cstheme="minorHAnsi"/>
          <w:sz w:val="22"/>
          <w:szCs w:val="22"/>
        </w:rPr>
        <w:t>.</w:t>
      </w:r>
    </w:p>
    <w:p w:rsidR="009B6C32" w:rsidRPr="00DD69AF" w:rsidRDefault="009B6C32" w:rsidP="009B6C32">
      <w:pPr>
        <w:pStyle w:val="NormalWeb"/>
        <w:numPr>
          <w:ilvl w:val="0"/>
          <w:numId w:val="2"/>
        </w:numPr>
        <w:rPr>
          <w:rFonts w:asciiTheme="minorHAnsi" w:hAnsiTheme="minorHAnsi" w:cstheme="minorHAnsi"/>
          <w:sz w:val="22"/>
          <w:szCs w:val="22"/>
        </w:rPr>
      </w:pPr>
      <w:r w:rsidRPr="00DD69AF">
        <w:rPr>
          <w:rFonts w:asciiTheme="minorHAnsi" w:hAnsiTheme="minorHAnsi" w:cstheme="minorHAnsi"/>
          <w:sz w:val="22"/>
          <w:szCs w:val="22"/>
        </w:rPr>
        <w:t>Examination – Pass the comprehensive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Certification Examination. The examination, administered in 10 hours over a two-day period, includes case studies and client scenarios designed to test one’s ability to correctly diagnose financial planning issues and apply one’s knowledge of financial planning to real world circumstances</w:t>
      </w:r>
      <w:r>
        <w:rPr>
          <w:rFonts w:asciiTheme="minorHAnsi" w:hAnsiTheme="minorHAnsi" w:cstheme="minorHAnsi"/>
          <w:sz w:val="22"/>
          <w:szCs w:val="22"/>
        </w:rPr>
        <w:t>.</w:t>
      </w:r>
      <w:r w:rsidRPr="00DD69AF">
        <w:rPr>
          <w:rFonts w:asciiTheme="minorHAnsi" w:hAnsiTheme="minorHAnsi" w:cstheme="minorHAnsi"/>
          <w:sz w:val="22"/>
          <w:szCs w:val="22"/>
        </w:rPr>
        <w:t xml:space="preserve"> </w:t>
      </w:r>
    </w:p>
    <w:p w:rsidR="009B6C32" w:rsidRPr="00DD69AF" w:rsidRDefault="009B6C32" w:rsidP="009B6C32">
      <w:pPr>
        <w:pStyle w:val="NormalWeb"/>
        <w:numPr>
          <w:ilvl w:val="0"/>
          <w:numId w:val="2"/>
        </w:numPr>
        <w:rPr>
          <w:rFonts w:asciiTheme="minorHAnsi" w:hAnsiTheme="minorHAnsi" w:cstheme="minorHAnsi"/>
          <w:sz w:val="22"/>
          <w:szCs w:val="22"/>
        </w:rPr>
      </w:pPr>
      <w:r w:rsidRPr="00DD69AF">
        <w:rPr>
          <w:rFonts w:asciiTheme="minorHAnsi" w:hAnsiTheme="minorHAnsi" w:cstheme="minorHAnsi"/>
          <w:sz w:val="22"/>
          <w:szCs w:val="22"/>
        </w:rPr>
        <w:t>Experience – Complete at least three ye</w:t>
      </w:r>
      <w:r>
        <w:rPr>
          <w:rFonts w:asciiTheme="minorHAnsi" w:hAnsiTheme="minorHAnsi" w:cstheme="minorHAnsi"/>
          <w:sz w:val="22"/>
          <w:szCs w:val="22"/>
        </w:rPr>
        <w:t>ars of full-time financ</w:t>
      </w:r>
      <w:r w:rsidRPr="00DD69AF">
        <w:rPr>
          <w:rFonts w:asciiTheme="minorHAnsi" w:hAnsiTheme="minorHAnsi" w:cstheme="minorHAnsi"/>
          <w:sz w:val="22"/>
          <w:szCs w:val="22"/>
        </w:rPr>
        <w:t>ial planning-related experience (or the equivalent, measured as 2,000 hours per year)</w:t>
      </w:r>
      <w:r>
        <w:rPr>
          <w:rFonts w:asciiTheme="minorHAnsi" w:hAnsiTheme="minorHAnsi" w:cstheme="minorHAnsi"/>
          <w:sz w:val="22"/>
          <w:szCs w:val="22"/>
        </w:rPr>
        <w:t xml:space="preserve">. </w:t>
      </w:r>
    </w:p>
    <w:p w:rsidR="009B6C32" w:rsidRPr="00DD69AF" w:rsidRDefault="009B6C32" w:rsidP="009B6C32">
      <w:pPr>
        <w:pStyle w:val="NormalWeb"/>
        <w:numPr>
          <w:ilvl w:val="0"/>
          <w:numId w:val="2"/>
        </w:numPr>
        <w:rPr>
          <w:rFonts w:asciiTheme="minorHAnsi" w:hAnsiTheme="minorHAnsi" w:cstheme="minorHAnsi"/>
          <w:sz w:val="22"/>
          <w:szCs w:val="22"/>
        </w:rPr>
      </w:pPr>
      <w:r w:rsidRPr="00DD69AF">
        <w:rPr>
          <w:rFonts w:asciiTheme="minorHAnsi" w:hAnsiTheme="minorHAnsi" w:cstheme="minorHAnsi"/>
          <w:sz w:val="22"/>
          <w:szCs w:val="22"/>
        </w:rPr>
        <w:t xml:space="preserve">Ethics – Agree to be bound by CFP Board’s </w:t>
      </w:r>
      <w:r w:rsidRPr="00DD69AF">
        <w:rPr>
          <w:rStyle w:val="Emphasis"/>
          <w:rFonts w:asciiTheme="minorHAnsi" w:hAnsiTheme="minorHAnsi" w:cstheme="minorHAnsi"/>
          <w:sz w:val="22"/>
          <w:szCs w:val="22"/>
        </w:rPr>
        <w:t>Standards of Professional Conduct</w:t>
      </w:r>
      <w:r w:rsidRPr="00DD69AF">
        <w:rPr>
          <w:rFonts w:asciiTheme="minorHAnsi" w:hAnsiTheme="minorHAnsi" w:cstheme="minorHAnsi"/>
          <w:sz w:val="22"/>
          <w:szCs w:val="22"/>
        </w:rPr>
        <w:t>, a set of documents outlining the ethical and practice standards for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professionals. </w:t>
      </w:r>
    </w:p>
    <w:p w:rsidR="009B6C32" w:rsidRPr="00DD69AF" w:rsidRDefault="009B6C32" w:rsidP="009B6C32">
      <w:pPr>
        <w:pStyle w:val="NormalWeb"/>
        <w:rPr>
          <w:rFonts w:asciiTheme="minorHAnsi" w:hAnsiTheme="minorHAnsi" w:cstheme="minorHAnsi"/>
          <w:sz w:val="22"/>
          <w:szCs w:val="22"/>
        </w:rPr>
      </w:pPr>
      <w:r w:rsidRPr="00DD69AF">
        <w:rPr>
          <w:rFonts w:asciiTheme="minorHAnsi" w:hAnsiTheme="minorHAnsi" w:cstheme="minorHAnsi"/>
          <w:sz w:val="22"/>
          <w:szCs w:val="22"/>
        </w:rPr>
        <w:t>Individuals who become certified must complete the following ongoing education and ethics requirements in order to maintain the right to continue to use the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mark: </w:t>
      </w:r>
    </w:p>
    <w:p w:rsidR="009B6C32" w:rsidRPr="00DD69AF" w:rsidRDefault="009B6C32" w:rsidP="009B6C32">
      <w:pPr>
        <w:pStyle w:val="NormalWeb"/>
        <w:numPr>
          <w:ilvl w:val="0"/>
          <w:numId w:val="3"/>
        </w:numPr>
        <w:rPr>
          <w:rFonts w:asciiTheme="minorHAnsi" w:hAnsiTheme="minorHAnsi" w:cstheme="minorHAnsi"/>
          <w:sz w:val="22"/>
          <w:szCs w:val="22"/>
        </w:rPr>
      </w:pPr>
      <w:r w:rsidRPr="00DD69AF">
        <w:rPr>
          <w:rFonts w:asciiTheme="minorHAnsi" w:hAnsiTheme="minorHAnsi" w:cstheme="minorHAnsi"/>
          <w:sz w:val="22"/>
          <w:szCs w:val="22"/>
        </w:rPr>
        <w:t xml:space="preserve">Continuing Education – Complete 30 hours of continuing education hours every two years, including two hours on the </w:t>
      </w:r>
      <w:r w:rsidRPr="00DD69AF">
        <w:rPr>
          <w:rStyle w:val="Emphasis"/>
          <w:rFonts w:asciiTheme="minorHAnsi" w:hAnsiTheme="minorHAnsi" w:cstheme="minorHAnsi"/>
          <w:sz w:val="22"/>
          <w:szCs w:val="22"/>
        </w:rPr>
        <w:t xml:space="preserve">Code of Ethics </w:t>
      </w:r>
      <w:r w:rsidRPr="00DD69AF">
        <w:rPr>
          <w:rFonts w:asciiTheme="minorHAnsi" w:hAnsiTheme="minorHAnsi" w:cstheme="minorHAnsi"/>
          <w:sz w:val="22"/>
          <w:szCs w:val="22"/>
        </w:rPr>
        <w:t xml:space="preserve">and other parts of the </w:t>
      </w:r>
      <w:r w:rsidRPr="00DD69AF">
        <w:rPr>
          <w:rStyle w:val="Emphasis"/>
          <w:rFonts w:asciiTheme="minorHAnsi" w:hAnsiTheme="minorHAnsi" w:cstheme="minorHAnsi"/>
          <w:sz w:val="22"/>
          <w:szCs w:val="22"/>
        </w:rPr>
        <w:t>Standards of Professional Conduct</w:t>
      </w:r>
      <w:r w:rsidRPr="00DD69AF">
        <w:rPr>
          <w:rFonts w:asciiTheme="minorHAnsi" w:hAnsiTheme="minorHAnsi" w:cstheme="minorHAnsi"/>
          <w:sz w:val="22"/>
          <w:szCs w:val="22"/>
        </w:rPr>
        <w:t>, to maintain competence and keep up with developments in the financial planning field</w:t>
      </w:r>
      <w:r>
        <w:rPr>
          <w:rFonts w:asciiTheme="minorHAnsi" w:hAnsiTheme="minorHAnsi" w:cstheme="minorHAnsi"/>
          <w:sz w:val="22"/>
          <w:szCs w:val="22"/>
        </w:rPr>
        <w:t xml:space="preserve">. </w:t>
      </w:r>
      <w:r w:rsidRPr="00DD69AF">
        <w:rPr>
          <w:rFonts w:asciiTheme="minorHAnsi" w:hAnsiTheme="minorHAnsi" w:cstheme="minorHAnsi"/>
          <w:sz w:val="22"/>
          <w:szCs w:val="22"/>
        </w:rPr>
        <w:t xml:space="preserve"> </w:t>
      </w:r>
    </w:p>
    <w:p w:rsidR="009B6C32" w:rsidRPr="00DD69AF" w:rsidRDefault="009B6C32" w:rsidP="009B6C32">
      <w:pPr>
        <w:pStyle w:val="NormalWeb"/>
        <w:numPr>
          <w:ilvl w:val="0"/>
          <w:numId w:val="3"/>
        </w:numPr>
        <w:rPr>
          <w:rFonts w:asciiTheme="minorHAnsi" w:hAnsiTheme="minorHAnsi" w:cstheme="minorHAnsi"/>
          <w:sz w:val="22"/>
          <w:szCs w:val="22"/>
        </w:rPr>
      </w:pPr>
      <w:r w:rsidRPr="00DD69AF">
        <w:rPr>
          <w:rFonts w:asciiTheme="minorHAnsi" w:hAnsiTheme="minorHAnsi" w:cstheme="minorHAnsi"/>
          <w:sz w:val="22"/>
          <w:szCs w:val="22"/>
        </w:rPr>
        <w:t xml:space="preserve">Ethics – Renew an agreement to be bound by the </w:t>
      </w:r>
      <w:r w:rsidRPr="00DD69AF">
        <w:rPr>
          <w:rStyle w:val="Emphasis"/>
          <w:rFonts w:asciiTheme="minorHAnsi" w:hAnsiTheme="minorHAnsi" w:cstheme="minorHAnsi"/>
          <w:sz w:val="22"/>
          <w:szCs w:val="22"/>
        </w:rPr>
        <w:t>Standards of Professional Conduct</w:t>
      </w:r>
      <w:r w:rsidRPr="00DD69AF">
        <w:rPr>
          <w:rFonts w:asciiTheme="minorHAnsi" w:hAnsiTheme="minorHAnsi" w:cstheme="minorHAnsi"/>
          <w:sz w:val="22"/>
          <w:szCs w:val="22"/>
        </w:rPr>
        <w:t>. The Standards prominently require that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professionals provide financial planning services at a fiduciary standard of care. This means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professionals must provide financial planning services in the best interests of their clients. </w:t>
      </w:r>
    </w:p>
    <w:p w:rsidR="009B6C32" w:rsidRPr="00DD69AF" w:rsidRDefault="009B6C32" w:rsidP="009B6C32">
      <w:pPr>
        <w:pStyle w:val="NormalWeb"/>
        <w:rPr>
          <w:rFonts w:asciiTheme="minorHAnsi" w:hAnsiTheme="minorHAnsi" w:cstheme="minorHAnsi"/>
          <w:sz w:val="22"/>
          <w:szCs w:val="22"/>
        </w:rPr>
      </w:pPr>
      <w:r w:rsidRPr="00DD69AF">
        <w:rPr>
          <w:rFonts w:asciiTheme="minorHAnsi" w:hAnsiTheme="minorHAnsi" w:cstheme="minorHAnsi"/>
          <w:sz w:val="22"/>
          <w:szCs w:val="22"/>
        </w:rPr>
        <w:t>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professionals who fail to comply with the above standards and requirements may be subject to CFP Board’s enforcement process, which could result in suspension or permanent revocation of their CFP</w:t>
      </w:r>
      <w:r w:rsidRPr="00DD69AF">
        <w:rPr>
          <w:rFonts w:asciiTheme="minorHAnsi" w:hAnsiTheme="minorHAnsi" w:cstheme="minorHAnsi"/>
          <w:sz w:val="22"/>
          <w:szCs w:val="22"/>
          <w:vertAlign w:val="superscript"/>
        </w:rPr>
        <w:t>®</w:t>
      </w:r>
      <w:r w:rsidRPr="00DD69AF">
        <w:rPr>
          <w:rFonts w:asciiTheme="minorHAnsi" w:hAnsiTheme="minorHAnsi" w:cstheme="minorHAnsi"/>
          <w:sz w:val="22"/>
          <w:szCs w:val="22"/>
        </w:rPr>
        <w:t xml:space="preserve"> certification. </w:t>
      </w:r>
    </w:p>
    <w:p w:rsidR="009B6C32" w:rsidRDefault="009B6C32" w:rsidP="009B6C32">
      <w:pPr>
        <w:pStyle w:val="Heading1"/>
      </w:pPr>
      <w:bookmarkStart w:id="17" w:name="_Toc287458473"/>
      <w:bookmarkStart w:id="18" w:name="_Toc292975441"/>
      <w:bookmarkStart w:id="19" w:name="_Toc346082395"/>
      <w:r>
        <w:t>Item 3</w:t>
      </w:r>
      <w:r>
        <w:tab/>
        <w:t>Disciplinary Information</w:t>
      </w:r>
      <w:bookmarkEnd w:id="17"/>
      <w:bookmarkEnd w:id="18"/>
      <w:bookmarkEnd w:id="19"/>
    </w:p>
    <w:p w:rsidR="009B6C32" w:rsidRDefault="009B6C32" w:rsidP="009B6C32">
      <w:r>
        <w:t>None of our supervised persons is subject to any material legal or disciplinary event.</w:t>
      </w:r>
    </w:p>
    <w:p w:rsidR="009B6C32" w:rsidRDefault="009B6C32" w:rsidP="009B6C32">
      <w:pPr>
        <w:pStyle w:val="Heading1"/>
      </w:pPr>
      <w:bookmarkStart w:id="20" w:name="_Toc287458474"/>
      <w:bookmarkStart w:id="21" w:name="_Toc292975442"/>
      <w:bookmarkStart w:id="22" w:name="_Toc346082396"/>
      <w:r>
        <w:t>Item 4</w:t>
      </w:r>
      <w:r>
        <w:tab/>
        <w:t>Other Business Activities</w:t>
      </w:r>
      <w:bookmarkEnd w:id="20"/>
      <w:bookmarkEnd w:id="21"/>
      <w:bookmarkEnd w:id="22"/>
    </w:p>
    <w:p w:rsidR="009B6C32" w:rsidRDefault="009B6C32" w:rsidP="009B6C32">
      <w:r>
        <w:t>Please see item 9 of the Firm Brochure (attached) for more information about our Other Business Activities.</w:t>
      </w:r>
    </w:p>
    <w:p w:rsidR="009B6C32" w:rsidRDefault="009B6C32" w:rsidP="009B6C32">
      <w:pPr>
        <w:pStyle w:val="Heading1"/>
      </w:pPr>
      <w:bookmarkStart w:id="23" w:name="_Toc287458475"/>
      <w:bookmarkStart w:id="24" w:name="_Toc292975443"/>
      <w:bookmarkStart w:id="25" w:name="_Toc346082397"/>
      <w:r>
        <w:t>Item 5</w:t>
      </w:r>
      <w:r>
        <w:tab/>
        <w:t>Additional Compensation</w:t>
      </w:r>
      <w:bookmarkEnd w:id="23"/>
      <w:bookmarkEnd w:id="24"/>
      <w:bookmarkEnd w:id="25"/>
    </w:p>
    <w:p w:rsidR="009B6C32" w:rsidRDefault="009B6C32" w:rsidP="009B6C32">
      <w:r>
        <w:t>There are no such issues to be disclosed.</w:t>
      </w:r>
    </w:p>
    <w:p w:rsidR="009B6C32" w:rsidRPr="007D6405" w:rsidRDefault="009B6C32" w:rsidP="009B6C32">
      <w:pPr>
        <w:pStyle w:val="Heading1"/>
      </w:pPr>
      <w:bookmarkStart w:id="26" w:name="_Toc287458476"/>
      <w:bookmarkStart w:id="27" w:name="_Toc292975444"/>
      <w:bookmarkStart w:id="28" w:name="_Toc346082398"/>
      <w:r>
        <w:t>Item 6</w:t>
      </w:r>
      <w:r>
        <w:tab/>
        <w:t>Supervision</w:t>
      </w:r>
      <w:bookmarkEnd w:id="26"/>
      <w:bookmarkEnd w:id="27"/>
      <w:bookmarkEnd w:id="28"/>
    </w:p>
    <w:p w:rsidR="009B6C32" w:rsidRDefault="009B6C32" w:rsidP="009B6C32">
      <w:r>
        <w:t xml:space="preserve">The person responsible for supervision is </w:t>
      </w:r>
      <w:r w:rsidR="00281D9F">
        <w:t>Ted Schwartz</w:t>
      </w:r>
      <w:r>
        <w:t xml:space="preserve">. </w:t>
      </w:r>
      <w:r w:rsidR="00D44F4A">
        <w:t>H</w:t>
      </w:r>
      <w:r>
        <w:t xml:space="preserve">e supervises the </w:t>
      </w:r>
      <w:r w:rsidR="00281D9F">
        <w:t xml:space="preserve">associates </w:t>
      </w:r>
      <w:r>
        <w:t xml:space="preserve">by monitoring their emails, reviewing paperwork they complete, meeting with them regularly, and enforcing the Firm's </w:t>
      </w:r>
      <w:r>
        <w:lastRenderedPageBreak/>
        <w:t xml:space="preserve">Written Supervisory Procedures and Code of Ethics.  </w:t>
      </w:r>
      <w:r w:rsidR="00281D9F">
        <w:t>As Ted is the sole owner and sole advisory representative, he supervises himself.</w:t>
      </w:r>
    </w:p>
    <w:p w:rsidR="009B6C32" w:rsidRPr="000E07E1" w:rsidRDefault="009B6C32" w:rsidP="009B6C32">
      <w:pPr>
        <w:pStyle w:val="Heading1"/>
      </w:pPr>
    </w:p>
    <w:p w:rsidR="00F5316C" w:rsidRDefault="00F5316C" w:rsidP="009B6C32">
      <w:pPr>
        <w:pStyle w:val="Heading1"/>
      </w:pPr>
    </w:p>
    <w:sectPr w:rsidR="00F5316C" w:rsidSect="00E7645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7DE" w:rsidRDefault="00E127DE" w:rsidP="0000509E">
      <w:pPr>
        <w:spacing w:after="0" w:line="240" w:lineRule="auto"/>
      </w:pPr>
      <w:r>
        <w:separator/>
      </w:r>
    </w:p>
  </w:endnote>
  <w:endnote w:type="continuationSeparator" w:id="0">
    <w:p w:rsidR="00E127DE" w:rsidRDefault="00E127DE" w:rsidP="0000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76520"/>
      <w:docPartObj>
        <w:docPartGallery w:val="Page Numbers (Bottom of Page)"/>
        <w:docPartUnique/>
      </w:docPartObj>
    </w:sdtPr>
    <w:sdtEndPr/>
    <w:sdtContent>
      <w:p w:rsidR="0000509E" w:rsidRDefault="00E127DE">
        <w:pPr>
          <w:pStyle w:val="Footer"/>
        </w:pPr>
        <w:r>
          <w:fldChar w:fldCharType="begin"/>
        </w:r>
        <w:r>
          <w:instrText xml:space="preserve"> PAGE   \* MERGEFORMAT </w:instrText>
        </w:r>
        <w:r>
          <w:fldChar w:fldCharType="separate"/>
        </w:r>
        <w:r w:rsidR="00AE1EB5">
          <w:rPr>
            <w:noProof/>
          </w:rPr>
          <w:t>1</w:t>
        </w:r>
        <w:r>
          <w:rPr>
            <w:noProof/>
          </w:rPr>
          <w:fldChar w:fldCharType="end"/>
        </w:r>
      </w:p>
    </w:sdtContent>
  </w:sdt>
  <w:p w:rsidR="0000509E" w:rsidRDefault="000050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7DE" w:rsidRDefault="00E127DE" w:rsidP="0000509E">
      <w:pPr>
        <w:spacing w:after="0" w:line="240" w:lineRule="auto"/>
      </w:pPr>
      <w:r>
        <w:separator/>
      </w:r>
    </w:p>
  </w:footnote>
  <w:footnote w:type="continuationSeparator" w:id="0">
    <w:p w:rsidR="00E127DE" w:rsidRDefault="00E127DE" w:rsidP="000050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D0771"/>
    <w:multiLevelType w:val="hybridMultilevel"/>
    <w:tmpl w:val="547C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B00AB7"/>
    <w:multiLevelType w:val="multilevel"/>
    <w:tmpl w:val="6FB4DC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88D5579"/>
    <w:multiLevelType w:val="multilevel"/>
    <w:tmpl w:val="93E403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1F5"/>
    <w:rsid w:val="00003E64"/>
    <w:rsid w:val="0000509E"/>
    <w:rsid w:val="000532E2"/>
    <w:rsid w:val="00061EC0"/>
    <w:rsid w:val="00076033"/>
    <w:rsid w:val="000A528B"/>
    <w:rsid w:val="000B408C"/>
    <w:rsid w:val="000E07E1"/>
    <w:rsid w:val="000E2179"/>
    <w:rsid w:val="00117230"/>
    <w:rsid w:val="001352C6"/>
    <w:rsid w:val="0017647A"/>
    <w:rsid w:val="00194AB6"/>
    <w:rsid w:val="00197464"/>
    <w:rsid w:val="00205463"/>
    <w:rsid w:val="0024313A"/>
    <w:rsid w:val="00244021"/>
    <w:rsid w:val="002522D7"/>
    <w:rsid w:val="00254CA4"/>
    <w:rsid w:val="00281D9F"/>
    <w:rsid w:val="00282DAA"/>
    <w:rsid w:val="002A46E4"/>
    <w:rsid w:val="002B56C3"/>
    <w:rsid w:val="002F7F2A"/>
    <w:rsid w:val="003062DB"/>
    <w:rsid w:val="00310383"/>
    <w:rsid w:val="00317FA9"/>
    <w:rsid w:val="003256AA"/>
    <w:rsid w:val="00361690"/>
    <w:rsid w:val="003667FB"/>
    <w:rsid w:val="00376BD9"/>
    <w:rsid w:val="0038255D"/>
    <w:rsid w:val="003A061A"/>
    <w:rsid w:val="003B31C7"/>
    <w:rsid w:val="003B4C19"/>
    <w:rsid w:val="00405965"/>
    <w:rsid w:val="00445724"/>
    <w:rsid w:val="004459B4"/>
    <w:rsid w:val="004466CF"/>
    <w:rsid w:val="004550C6"/>
    <w:rsid w:val="00462B48"/>
    <w:rsid w:val="00470D32"/>
    <w:rsid w:val="00482D5F"/>
    <w:rsid w:val="004F7E0A"/>
    <w:rsid w:val="00502930"/>
    <w:rsid w:val="00550BB3"/>
    <w:rsid w:val="005A33E4"/>
    <w:rsid w:val="005B6B37"/>
    <w:rsid w:val="005C31AE"/>
    <w:rsid w:val="005C44EE"/>
    <w:rsid w:val="005D7351"/>
    <w:rsid w:val="005F4316"/>
    <w:rsid w:val="005F66BE"/>
    <w:rsid w:val="00606C65"/>
    <w:rsid w:val="00610022"/>
    <w:rsid w:val="006471E9"/>
    <w:rsid w:val="00660336"/>
    <w:rsid w:val="0066776E"/>
    <w:rsid w:val="00671690"/>
    <w:rsid w:val="00687DF9"/>
    <w:rsid w:val="006A22A1"/>
    <w:rsid w:val="00703163"/>
    <w:rsid w:val="007208A6"/>
    <w:rsid w:val="007519A4"/>
    <w:rsid w:val="00784921"/>
    <w:rsid w:val="007A1A5B"/>
    <w:rsid w:val="007B077B"/>
    <w:rsid w:val="007D6405"/>
    <w:rsid w:val="007F5D62"/>
    <w:rsid w:val="0082447F"/>
    <w:rsid w:val="008F2DE5"/>
    <w:rsid w:val="009079AB"/>
    <w:rsid w:val="00921571"/>
    <w:rsid w:val="0094419C"/>
    <w:rsid w:val="00962B0D"/>
    <w:rsid w:val="009B6C32"/>
    <w:rsid w:val="00A448E8"/>
    <w:rsid w:val="00A51EAD"/>
    <w:rsid w:val="00A64B3F"/>
    <w:rsid w:val="00A829FB"/>
    <w:rsid w:val="00A92D42"/>
    <w:rsid w:val="00AA15AB"/>
    <w:rsid w:val="00AA5C35"/>
    <w:rsid w:val="00AC6F1B"/>
    <w:rsid w:val="00AE1EB5"/>
    <w:rsid w:val="00AF184E"/>
    <w:rsid w:val="00B218E0"/>
    <w:rsid w:val="00B223D6"/>
    <w:rsid w:val="00B25079"/>
    <w:rsid w:val="00B338F1"/>
    <w:rsid w:val="00B403EF"/>
    <w:rsid w:val="00B501F5"/>
    <w:rsid w:val="00B57507"/>
    <w:rsid w:val="00B86D9F"/>
    <w:rsid w:val="00B95D1F"/>
    <w:rsid w:val="00B968CF"/>
    <w:rsid w:val="00BC3DAC"/>
    <w:rsid w:val="00C72750"/>
    <w:rsid w:val="00C774A0"/>
    <w:rsid w:val="00C80B6C"/>
    <w:rsid w:val="00C87E7F"/>
    <w:rsid w:val="00D00AF2"/>
    <w:rsid w:val="00D12DE4"/>
    <w:rsid w:val="00D35538"/>
    <w:rsid w:val="00D364A2"/>
    <w:rsid w:val="00D43A6F"/>
    <w:rsid w:val="00D44F4A"/>
    <w:rsid w:val="00D51033"/>
    <w:rsid w:val="00D61B41"/>
    <w:rsid w:val="00D649AE"/>
    <w:rsid w:val="00DB4A87"/>
    <w:rsid w:val="00DC1F1F"/>
    <w:rsid w:val="00DD69AF"/>
    <w:rsid w:val="00DF76AF"/>
    <w:rsid w:val="00E127DE"/>
    <w:rsid w:val="00E13B36"/>
    <w:rsid w:val="00E21DE7"/>
    <w:rsid w:val="00E30C2C"/>
    <w:rsid w:val="00E37E43"/>
    <w:rsid w:val="00E7645B"/>
    <w:rsid w:val="00EB5170"/>
    <w:rsid w:val="00EC5730"/>
    <w:rsid w:val="00F15E84"/>
    <w:rsid w:val="00F41EE1"/>
    <w:rsid w:val="00F5316C"/>
    <w:rsid w:val="00F55C9B"/>
    <w:rsid w:val="00F63652"/>
    <w:rsid w:val="00F707A7"/>
    <w:rsid w:val="00FB4834"/>
    <w:rsid w:val="00FF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7645B"/>
    <w:pPr>
      <w:spacing w:after="200" w:line="276" w:lineRule="auto"/>
    </w:pPr>
  </w:style>
  <w:style w:type="paragraph" w:styleId="Heading1">
    <w:name w:val="heading 1"/>
    <w:basedOn w:val="Normal"/>
    <w:next w:val="Normal"/>
    <w:link w:val="Heading1Char"/>
    <w:uiPriority w:val="99"/>
    <w:qFormat/>
    <w:rsid w:val="00687DF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87DF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687DF9"/>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BC3DA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7DF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87DF9"/>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687DF9"/>
    <w:rPr>
      <w:rFonts w:ascii="Cambria" w:hAnsi="Cambria" w:cs="Times New Roman"/>
      <w:b/>
      <w:bCs/>
      <w:color w:val="4F81BD"/>
    </w:rPr>
  </w:style>
  <w:style w:type="character" w:customStyle="1" w:styleId="Heading4Char">
    <w:name w:val="Heading 4 Char"/>
    <w:basedOn w:val="DefaultParagraphFont"/>
    <w:link w:val="Heading4"/>
    <w:uiPriority w:val="99"/>
    <w:locked/>
    <w:rsid w:val="00BC3DAC"/>
    <w:rPr>
      <w:rFonts w:ascii="Cambria" w:hAnsi="Cambria" w:cs="Times New Roman"/>
      <w:b/>
      <w:bCs/>
      <w:i/>
      <w:iCs/>
      <w:color w:val="4F81BD"/>
    </w:rPr>
  </w:style>
  <w:style w:type="character" w:styleId="Hyperlink">
    <w:name w:val="Hyperlink"/>
    <w:basedOn w:val="DefaultParagraphFont"/>
    <w:uiPriority w:val="99"/>
    <w:rsid w:val="00B501F5"/>
    <w:rPr>
      <w:rFonts w:cs="Times New Roman"/>
      <w:color w:val="0000FF"/>
      <w:u w:val="single"/>
    </w:rPr>
  </w:style>
  <w:style w:type="paragraph" w:styleId="TOCHeading">
    <w:name w:val="TOC Heading"/>
    <w:basedOn w:val="Heading1"/>
    <w:next w:val="Normal"/>
    <w:uiPriority w:val="99"/>
    <w:qFormat/>
    <w:rsid w:val="00687DF9"/>
    <w:pPr>
      <w:outlineLvl w:val="9"/>
    </w:pPr>
  </w:style>
  <w:style w:type="paragraph" w:styleId="TOC2">
    <w:name w:val="toc 2"/>
    <w:basedOn w:val="Normal"/>
    <w:next w:val="Normal"/>
    <w:autoRedefine/>
    <w:uiPriority w:val="99"/>
    <w:rsid w:val="00687DF9"/>
    <w:pPr>
      <w:spacing w:after="100"/>
      <w:ind w:left="220"/>
    </w:pPr>
  </w:style>
  <w:style w:type="paragraph" w:styleId="TOC1">
    <w:name w:val="toc 1"/>
    <w:basedOn w:val="Normal"/>
    <w:next w:val="Normal"/>
    <w:autoRedefine/>
    <w:uiPriority w:val="39"/>
    <w:rsid w:val="00687DF9"/>
    <w:pPr>
      <w:spacing w:after="100"/>
    </w:pPr>
  </w:style>
  <w:style w:type="paragraph" w:styleId="BalloonText">
    <w:name w:val="Balloon Text"/>
    <w:basedOn w:val="Normal"/>
    <w:link w:val="BalloonTextChar"/>
    <w:uiPriority w:val="99"/>
    <w:semiHidden/>
    <w:rsid w:val="00687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DF9"/>
    <w:rPr>
      <w:rFonts w:ascii="Tahoma" w:hAnsi="Tahoma" w:cs="Tahoma"/>
      <w:sz w:val="16"/>
      <w:szCs w:val="16"/>
    </w:rPr>
  </w:style>
  <w:style w:type="paragraph" w:styleId="ListParagraph">
    <w:name w:val="List Paragraph"/>
    <w:basedOn w:val="Normal"/>
    <w:uiPriority w:val="99"/>
    <w:qFormat/>
    <w:rsid w:val="00BC3DAC"/>
    <w:pPr>
      <w:ind w:left="720"/>
      <w:contextualSpacing/>
    </w:pPr>
  </w:style>
  <w:style w:type="paragraph" w:styleId="TOC3">
    <w:name w:val="toc 3"/>
    <w:basedOn w:val="Normal"/>
    <w:next w:val="Normal"/>
    <w:autoRedefine/>
    <w:uiPriority w:val="39"/>
    <w:rsid w:val="00205463"/>
    <w:pPr>
      <w:spacing w:after="100"/>
      <w:ind w:left="440"/>
    </w:pPr>
  </w:style>
  <w:style w:type="paragraph" w:styleId="Header">
    <w:name w:val="header"/>
    <w:basedOn w:val="Normal"/>
    <w:link w:val="HeaderChar"/>
    <w:uiPriority w:val="99"/>
    <w:rsid w:val="00E13B36"/>
    <w:pPr>
      <w:widowControl w:val="0"/>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uiPriority w:val="99"/>
    <w:locked/>
    <w:rsid w:val="00E13B36"/>
    <w:rPr>
      <w:rFonts w:ascii="Times New Roman" w:hAnsi="Times New Roman" w:cs="Times New Roman"/>
      <w:sz w:val="20"/>
      <w:szCs w:val="20"/>
    </w:rPr>
  </w:style>
  <w:style w:type="character" w:styleId="CommentReference">
    <w:name w:val="annotation reference"/>
    <w:basedOn w:val="DefaultParagraphFont"/>
    <w:uiPriority w:val="99"/>
    <w:semiHidden/>
    <w:rsid w:val="00FB4834"/>
    <w:rPr>
      <w:rFonts w:cs="Times New Roman"/>
      <w:sz w:val="16"/>
      <w:szCs w:val="16"/>
    </w:rPr>
  </w:style>
  <w:style w:type="paragraph" w:styleId="CommentText">
    <w:name w:val="annotation text"/>
    <w:basedOn w:val="Normal"/>
    <w:link w:val="CommentTextChar"/>
    <w:uiPriority w:val="99"/>
    <w:semiHidden/>
    <w:rsid w:val="00FB4834"/>
    <w:rPr>
      <w:sz w:val="20"/>
      <w:szCs w:val="20"/>
    </w:rPr>
  </w:style>
  <w:style w:type="character" w:customStyle="1" w:styleId="CommentTextChar">
    <w:name w:val="Comment Text Char"/>
    <w:basedOn w:val="DefaultParagraphFont"/>
    <w:link w:val="CommentText"/>
    <w:uiPriority w:val="99"/>
    <w:semiHidden/>
    <w:rsid w:val="0059443A"/>
    <w:rPr>
      <w:sz w:val="20"/>
      <w:szCs w:val="20"/>
    </w:rPr>
  </w:style>
  <w:style w:type="paragraph" w:styleId="CommentSubject">
    <w:name w:val="annotation subject"/>
    <w:basedOn w:val="CommentText"/>
    <w:next w:val="CommentText"/>
    <w:link w:val="CommentSubjectChar"/>
    <w:uiPriority w:val="99"/>
    <w:semiHidden/>
    <w:rsid w:val="00FB4834"/>
    <w:rPr>
      <w:b/>
      <w:bCs/>
    </w:rPr>
  </w:style>
  <w:style w:type="character" w:customStyle="1" w:styleId="CommentSubjectChar">
    <w:name w:val="Comment Subject Char"/>
    <w:basedOn w:val="CommentTextChar"/>
    <w:link w:val="CommentSubject"/>
    <w:uiPriority w:val="99"/>
    <w:semiHidden/>
    <w:rsid w:val="0059443A"/>
    <w:rPr>
      <w:b/>
      <w:bCs/>
      <w:sz w:val="20"/>
      <w:szCs w:val="20"/>
    </w:rPr>
  </w:style>
  <w:style w:type="paragraph" w:styleId="NormalWeb">
    <w:name w:val="Normal (Web)"/>
    <w:basedOn w:val="Normal"/>
    <w:uiPriority w:val="99"/>
    <w:semiHidden/>
    <w:unhideWhenUsed/>
    <w:rsid w:val="00F5316C"/>
    <w:pPr>
      <w:spacing w:before="100" w:beforeAutospacing="1" w:after="100" w:afterAutospacing="1" w:line="240" w:lineRule="auto"/>
    </w:pPr>
    <w:rPr>
      <w:rFonts w:ascii="Times New Roman" w:eastAsiaTheme="minorHAnsi" w:hAnsi="Times New Roman"/>
      <w:sz w:val="24"/>
      <w:szCs w:val="24"/>
    </w:rPr>
  </w:style>
  <w:style w:type="character" w:styleId="Emphasis">
    <w:name w:val="Emphasis"/>
    <w:basedOn w:val="DefaultParagraphFont"/>
    <w:uiPriority w:val="20"/>
    <w:qFormat/>
    <w:locked/>
    <w:rsid w:val="00F5316C"/>
    <w:rPr>
      <w:i/>
      <w:iCs/>
    </w:rPr>
  </w:style>
  <w:style w:type="paragraph" w:styleId="Footer">
    <w:name w:val="footer"/>
    <w:basedOn w:val="Normal"/>
    <w:link w:val="FooterChar"/>
    <w:uiPriority w:val="99"/>
    <w:unhideWhenUsed/>
    <w:rsid w:val="0000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7645B"/>
    <w:pPr>
      <w:spacing w:after="200" w:line="276" w:lineRule="auto"/>
    </w:pPr>
  </w:style>
  <w:style w:type="paragraph" w:styleId="Heading1">
    <w:name w:val="heading 1"/>
    <w:basedOn w:val="Normal"/>
    <w:next w:val="Normal"/>
    <w:link w:val="Heading1Char"/>
    <w:uiPriority w:val="99"/>
    <w:qFormat/>
    <w:rsid w:val="00687DF9"/>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87DF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687DF9"/>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BC3DA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7DF9"/>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87DF9"/>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687DF9"/>
    <w:rPr>
      <w:rFonts w:ascii="Cambria" w:hAnsi="Cambria" w:cs="Times New Roman"/>
      <w:b/>
      <w:bCs/>
      <w:color w:val="4F81BD"/>
    </w:rPr>
  </w:style>
  <w:style w:type="character" w:customStyle="1" w:styleId="Heading4Char">
    <w:name w:val="Heading 4 Char"/>
    <w:basedOn w:val="DefaultParagraphFont"/>
    <w:link w:val="Heading4"/>
    <w:uiPriority w:val="99"/>
    <w:locked/>
    <w:rsid w:val="00BC3DAC"/>
    <w:rPr>
      <w:rFonts w:ascii="Cambria" w:hAnsi="Cambria" w:cs="Times New Roman"/>
      <w:b/>
      <w:bCs/>
      <w:i/>
      <w:iCs/>
      <w:color w:val="4F81BD"/>
    </w:rPr>
  </w:style>
  <w:style w:type="character" w:styleId="Hyperlink">
    <w:name w:val="Hyperlink"/>
    <w:basedOn w:val="DefaultParagraphFont"/>
    <w:uiPriority w:val="99"/>
    <w:rsid w:val="00B501F5"/>
    <w:rPr>
      <w:rFonts w:cs="Times New Roman"/>
      <w:color w:val="0000FF"/>
      <w:u w:val="single"/>
    </w:rPr>
  </w:style>
  <w:style w:type="paragraph" w:styleId="TOCHeading">
    <w:name w:val="TOC Heading"/>
    <w:basedOn w:val="Heading1"/>
    <w:next w:val="Normal"/>
    <w:uiPriority w:val="99"/>
    <w:qFormat/>
    <w:rsid w:val="00687DF9"/>
    <w:pPr>
      <w:outlineLvl w:val="9"/>
    </w:pPr>
  </w:style>
  <w:style w:type="paragraph" w:styleId="TOC2">
    <w:name w:val="toc 2"/>
    <w:basedOn w:val="Normal"/>
    <w:next w:val="Normal"/>
    <w:autoRedefine/>
    <w:uiPriority w:val="99"/>
    <w:rsid w:val="00687DF9"/>
    <w:pPr>
      <w:spacing w:after="100"/>
      <w:ind w:left="220"/>
    </w:pPr>
  </w:style>
  <w:style w:type="paragraph" w:styleId="TOC1">
    <w:name w:val="toc 1"/>
    <w:basedOn w:val="Normal"/>
    <w:next w:val="Normal"/>
    <w:autoRedefine/>
    <w:uiPriority w:val="39"/>
    <w:rsid w:val="00687DF9"/>
    <w:pPr>
      <w:spacing w:after="100"/>
    </w:pPr>
  </w:style>
  <w:style w:type="paragraph" w:styleId="BalloonText">
    <w:name w:val="Balloon Text"/>
    <w:basedOn w:val="Normal"/>
    <w:link w:val="BalloonTextChar"/>
    <w:uiPriority w:val="99"/>
    <w:semiHidden/>
    <w:rsid w:val="00687D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DF9"/>
    <w:rPr>
      <w:rFonts w:ascii="Tahoma" w:hAnsi="Tahoma" w:cs="Tahoma"/>
      <w:sz w:val="16"/>
      <w:szCs w:val="16"/>
    </w:rPr>
  </w:style>
  <w:style w:type="paragraph" w:styleId="ListParagraph">
    <w:name w:val="List Paragraph"/>
    <w:basedOn w:val="Normal"/>
    <w:uiPriority w:val="99"/>
    <w:qFormat/>
    <w:rsid w:val="00BC3DAC"/>
    <w:pPr>
      <w:ind w:left="720"/>
      <w:contextualSpacing/>
    </w:pPr>
  </w:style>
  <w:style w:type="paragraph" w:styleId="TOC3">
    <w:name w:val="toc 3"/>
    <w:basedOn w:val="Normal"/>
    <w:next w:val="Normal"/>
    <w:autoRedefine/>
    <w:uiPriority w:val="39"/>
    <w:rsid w:val="00205463"/>
    <w:pPr>
      <w:spacing w:after="100"/>
      <w:ind w:left="440"/>
    </w:pPr>
  </w:style>
  <w:style w:type="paragraph" w:styleId="Header">
    <w:name w:val="header"/>
    <w:basedOn w:val="Normal"/>
    <w:link w:val="HeaderChar"/>
    <w:uiPriority w:val="99"/>
    <w:rsid w:val="00E13B36"/>
    <w:pPr>
      <w:widowControl w:val="0"/>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uiPriority w:val="99"/>
    <w:locked/>
    <w:rsid w:val="00E13B36"/>
    <w:rPr>
      <w:rFonts w:ascii="Times New Roman" w:hAnsi="Times New Roman" w:cs="Times New Roman"/>
      <w:sz w:val="20"/>
      <w:szCs w:val="20"/>
    </w:rPr>
  </w:style>
  <w:style w:type="character" w:styleId="CommentReference">
    <w:name w:val="annotation reference"/>
    <w:basedOn w:val="DefaultParagraphFont"/>
    <w:uiPriority w:val="99"/>
    <w:semiHidden/>
    <w:rsid w:val="00FB4834"/>
    <w:rPr>
      <w:rFonts w:cs="Times New Roman"/>
      <w:sz w:val="16"/>
      <w:szCs w:val="16"/>
    </w:rPr>
  </w:style>
  <w:style w:type="paragraph" w:styleId="CommentText">
    <w:name w:val="annotation text"/>
    <w:basedOn w:val="Normal"/>
    <w:link w:val="CommentTextChar"/>
    <w:uiPriority w:val="99"/>
    <w:semiHidden/>
    <w:rsid w:val="00FB4834"/>
    <w:rPr>
      <w:sz w:val="20"/>
      <w:szCs w:val="20"/>
    </w:rPr>
  </w:style>
  <w:style w:type="character" w:customStyle="1" w:styleId="CommentTextChar">
    <w:name w:val="Comment Text Char"/>
    <w:basedOn w:val="DefaultParagraphFont"/>
    <w:link w:val="CommentText"/>
    <w:uiPriority w:val="99"/>
    <w:semiHidden/>
    <w:rsid w:val="0059443A"/>
    <w:rPr>
      <w:sz w:val="20"/>
      <w:szCs w:val="20"/>
    </w:rPr>
  </w:style>
  <w:style w:type="paragraph" w:styleId="CommentSubject">
    <w:name w:val="annotation subject"/>
    <w:basedOn w:val="CommentText"/>
    <w:next w:val="CommentText"/>
    <w:link w:val="CommentSubjectChar"/>
    <w:uiPriority w:val="99"/>
    <w:semiHidden/>
    <w:rsid w:val="00FB4834"/>
    <w:rPr>
      <w:b/>
      <w:bCs/>
    </w:rPr>
  </w:style>
  <w:style w:type="character" w:customStyle="1" w:styleId="CommentSubjectChar">
    <w:name w:val="Comment Subject Char"/>
    <w:basedOn w:val="CommentTextChar"/>
    <w:link w:val="CommentSubject"/>
    <w:uiPriority w:val="99"/>
    <w:semiHidden/>
    <w:rsid w:val="0059443A"/>
    <w:rPr>
      <w:b/>
      <w:bCs/>
      <w:sz w:val="20"/>
      <w:szCs w:val="20"/>
    </w:rPr>
  </w:style>
  <w:style w:type="paragraph" w:styleId="NormalWeb">
    <w:name w:val="Normal (Web)"/>
    <w:basedOn w:val="Normal"/>
    <w:uiPriority w:val="99"/>
    <w:semiHidden/>
    <w:unhideWhenUsed/>
    <w:rsid w:val="00F5316C"/>
    <w:pPr>
      <w:spacing w:before="100" w:beforeAutospacing="1" w:after="100" w:afterAutospacing="1" w:line="240" w:lineRule="auto"/>
    </w:pPr>
    <w:rPr>
      <w:rFonts w:ascii="Times New Roman" w:eastAsiaTheme="minorHAnsi" w:hAnsi="Times New Roman"/>
      <w:sz w:val="24"/>
      <w:szCs w:val="24"/>
    </w:rPr>
  </w:style>
  <w:style w:type="character" w:styleId="Emphasis">
    <w:name w:val="Emphasis"/>
    <w:basedOn w:val="DefaultParagraphFont"/>
    <w:uiPriority w:val="20"/>
    <w:qFormat/>
    <w:locked/>
    <w:rsid w:val="00F5316C"/>
    <w:rPr>
      <w:i/>
      <w:iCs/>
    </w:rPr>
  </w:style>
  <w:style w:type="paragraph" w:styleId="Footer">
    <w:name w:val="footer"/>
    <w:basedOn w:val="Normal"/>
    <w:link w:val="FooterChar"/>
    <w:uiPriority w:val="99"/>
    <w:unhideWhenUsed/>
    <w:rsid w:val="0000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dviserinfo.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3650-15B5-4764-BCAF-8464187E6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3318</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Item 1   Cover Page</vt:lpstr>
    </vt:vector>
  </TitlesOfParts>
  <Company>Sony Electronics, Inc.</Company>
  <LinksUpToDate>false</LinksUpToDate>
  <CharactersWithSpaces>22187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   Cover Page</dc:title>
  <dc:creator>Ann</dc:creator>
  <cp:lastModifiedBy>Colleen Williams</cp:lastModifiedBy>
  <cp:revision>2</cp:revision>
  <cp:lastPrinted>2012-07-05T12:08:00Z</cp:lastPrinted>
  <dcterms:created xsi:type="dcterms:W3CDTF">2013-01-24T20:43:00Z</dcterms:created>
  <dcterms:modified xsi:type="dcterms:W3CDTF">2013-01-24T20:43:00Z</dcterms:modified>
</cp:coreProperties>
</file>